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0338E640">
      <w:pPr>
        <w:widowControl/>
        <w:spacing w:line="520" w:lineRule="atLeast"/>
        <w:ind w:firstLine="643"/>
        <w:jc w:val="left"/>
        <w:rPr>
          <w:rFonts w:ascii="方正小标宋简体" w:hAnsi="宋体" w:eastAsia="方正小标宋简体" w:cs="方正小标宋简体"/>
          <w:b/>
          <w:bCs/>
          <w:sz w:val="28"/>
          <w:szCs w:val="28"/>
        </w:rPr>
      </w:pPr>
      <w:r>
        <w:rPr>
          <w:rFonts w:hint="eastAsia" w:ascii="方正小标宋简体" w:hAnsi="宋体" w:eastAsia="方正小标宋简体" w:cs="方正小标宋简体"/>
          <w:b/>
          <w:bCs/>
          <w:sz w:val="28"/>
          <w:szCs w:val="28"/>
        </w:rPr>
        <w:t>附件一</w:t>
      </w:r>
    </w:p>
    <w:p w14:paraId="547427E3">
      <w:pPr>
        <w:widowControl/>
        <w:spacing w:line="520" w:lineRule="atLeast"/>
        <w:ind w:firstLine="643"/>
        <w:jc w:val="left"/>
        <w:rPr>
          <w:rFonts w:ascii="方正小标宋简体" w:hAnsi="宋体" w:eastAsia="方正小标宋简体" w:cs="Times New Roman"/>
          <w:b/>
          <w:bCs/>
          <w:sz w:val="36"/>
          <w:szCs w:val="36"/>
        </w:rPr>
      </w:pPr>
      <w:r>
        <w:rPr>
          <w:rFonts w:hint="eastAsia" w:ascii="方正小标宋简体" w:hAnsi="宋体" w:eastAsia="方正小标宋简体" w:cs="方正小标宋简体"/>
          <w:b/>
          <w:bCs/>
          <w:sz w:val="36"/>
          <w:szCs w:val="36"/>
        </w:rPr>
        <w:t>实验室危险化学品废弃物回收处置注意事项</w:t>
      </w:r>
    </w:p>
    <w:p w14:paraId="1EF2D9AD">
      <w:pPr>
        <w:numPr>
          <w:ilvl w:val="0"/>
          <w:numId w:val="1"/>
        </w:numPr>
        <w:spacing w:line="480" w:lineRule="exact"/>
        <w:ind w:firstLine="560" w:firstLineChars="200"/>
        <w:rPr>
          <w:rFonts w:ascii="黑体" w:hAnsi="Times New Roman" w:eastAsia="黑体" w:cs="黑体"/>
          <w:sz w:val="28"/>
          <w:szCs w:val="28"/>
        </w:rPr>
      </w:pPr>
      <w:r>
        <w:rPr>
          <w:rFonts w:hint="eastAsia" w:ascii="黑体" w:hAnsi="Times New Roman" w:eastAsia="黑体" w:cs="黑体"/>
          <w:sz w:val="28"/>
          <w:szCs w:val="28"/>
        </w:rPr>
        <w:t>总则</w:t>
      </w:r>
    </w:p>
    <w:p w14:paraId="01EAA55C">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rPr>
        <w:t>危险化学品废弃物产生单位应指定专人具体负责废弃物的分类收集及暂存的安全管理工作，并配合</w:t>
      </w:r>
      <w:r>
        <w:rPr>
          <w:rFonts w:hint="eastAsia" w:ascii="仿宋_GB2312" w:hAnsi="Times New Roman" w:eastAsia="仿宋_GB2312" w:cs="仿宋_GB2312"/>
          <w:sz w:val="28"/>
          <w:szCs w:val="28"/>
          <w:lang w:eastAsia="zh-CN"/>
        </w:rPr>
        <w:t>实验室与设备管理处</w:t>
      </w:r>
      <w:r>
        <w:rPr>
          <w:rFonts w:hint="eastAsia" w:ascii="仿宋_GB2312" w:hAnsi="Times New Roman" w:eastAsia="仿宋_GB2312" w:cs="仿宋_GB2312"/>
          <w:sz w:val="28"/>
          <w:szCs w:val="28"/>
        </w:rPr>
        <w:t>开展回收处置工作。</w:t>
      </w:r>
    </w:p>
    <w:p w14:paraId="66A009A2">
      <w:pPr>
        <w:spacing w:line="480" w:lineRule="exact"/>
        <w:ind w:firstLine="560" w:firstLineChars="200"/>
        <w:rPr>
          <w:rFonts w:ascii="仿宋_GB2312" w:hAnsi="Times New Roman" w:eastAsia="仿宋_GB2312" w:cs="Times New Roman"/>
          <w:sz w:val="28"/>
          <w:szCs w:val="28"/>
        </w:rPr>
      </w:pPr>
      <w:r>
        <w:rPr>
          <w:rFonts w:hint="eastAsia" w:ascii="黑体" w:hAnsi="Times New Roman" w:eastAsia="黑体" w:cs="黑体"/>
          <w:sz w:val="28"/>
          <w:szCs w:val="28"/>
        </w:rPr>
        <w:t>第二条</w:t>
      </w:r>
      <w:r>
        <w:rPr>
          <w:rFonts w:ascii="黑体" w:hAnsi="Times New Roman" w:eastAsia="黑体" w:cs="黑体"/>
          <w:sz w:val="28"/>
          <w:szCs w:val="28"/>
        </w:rPr>
        <w:t xml:space="preserve"> </w:t>
      </w:r>
      <w:r>
        <w:rPr>
          <w:rFonts w:hint="eastAsia" w:ascii="黑体" w:hAnsi="Times New Roman" w:eastAsia="黑体" w:cs="黑体"/>
          <w:sz w:val="28"/>
          <w:szCs w:val="28"/>
        </w:rPr>
        <w:t>危险化学品废弃物收集装运人员要求</w:t>
      </w:r>
    </w:p>
    <w:p w14:paraId="43653742">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（一）收集、存储危险化学品相关操作人员应根据化学品的相容性和危险特性做好个人防护，确保人员安全。</w:t>
      </w:r>
    </w:p>
    <w:p w14:paraId="3899752D">
      <w:pPr>
        <w:spacing w:line="480" w:lineRule="exact"/>
        <w:ind w:firstLine="560" w:firstLineChars="200"/>
        <w:rPr>
          <w:rFonts w:hint="eastAsia"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rPr>
        <w:t>（二）收集危险化学品废弃物时，相关单位应按通知的时间，</w:t>
      </w:r>
      <w:r>
        <w:rPr>
          <w:rFonts w:hint="eastAsia" w:ascii="仿宋_GB2312" w:hAnsi="Times New Roman" w:eastAsia="仿宋_GB2312" w:cs="仿宋_GB2312"/>
          <w:sz w:val="28"/>
          <w:szCs w:val="28"/>
          <w:lang w:val="en-US" w:eastAsia="zh-CN"/>
        </w:rPr>
        <w:t>将实验室房间废弃物暂存区存放的危险化学品废弃物按照规范要求提前分类打包，</w:t>
      </w:r>
      <w:r>
        <w:rPr>
          <w:rFonts w:hint="eastAsia" w:ascii="仿宋_GB2312" w:hAnsi="Times New Roman" w:eastAsia="仿宋_GB2312" w:cs="仿宋_GB2312"/>
          <w:b/>
          <w:bCs/>
          <w:sz w:val="28"/>
          <w:szCs w:val="28"/>
          <w:lang w:val="en-US" w:eastAsia="zh-CN"/>
        </w:rPr>
        <w:t>非剧毒类实验室废物</w:t>
      </w:r>
      <w:r>
        <w:rPr>
          <w:rFonts w:hint="default" w:eastAsia="仿宋_GB2312" w:cs="仿宋_GB2312" w:asciiTheme="minorAscii" w:hAnsiTheme="minorAscii"/>
          <w:b/>
          <w:bCs/>
          <w:sz w:val="28"/>
          <w:szCs w:val="28"/>
          <w:lang w:val="en-US" w:eastAsia="zh-CN"/>
        </w:rPr>
        <w:t>（900-047-49）</w:t>
      </w:r>
      <w:r>
        <w:rPr>
          <w:rFonts w:hint="eastAsia" w:ascii="仿宋_GB2312" w:hAnsi="Times New Roman" w:eastAsia="仿宋_GB2312" w:cs="仿宋_GB2312"/>
          <w:b/>
          <w:bCs/>
          <w:sz w:val="28"/>
          <w:szCs w:val="28"/>
          <w:lang w:val="en-US" w:eastAsia="zh-CN"/>
        </w:rPr>
        <w:t>须分别按固液分开、有机无机分开、氧化还原剂分开的原则</w:t>
      </w:r>
      <w:r>
        <w:rPr>
          <w:rFonts w:hint="eastAsia" w:ascii="仿宋_GB2312" w:hAnsi="Times New Roman" w:eastAsia="仿宋_GB2312" w:cs="仿宋_GB2312"/>
          <w:sz w:val="28"/>
          <w:szCs w:val="28"/>
          <w:lang w:val="en-US" w:eastAsia="zh-CN"/>
        </w:rPr>
        <w:t>，进行分类存放和称重</w:t>
      </w: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收运时未按要求打包好</w:t>
      </w:r>
      <w:r>
        <w:rPr>
          <w:rFonts w:hint="eastAsia" w:ascii="仿宋_GB2312" w:hAnsi="Times New Roman" w:eastAsia="仿宋_GB2312" w:cs="仿宋_GB2312"/>
          <w:sz w:val="28"/>
          <w:szCs w:val="28"/>
        </w:rPr>
        <w:t>废弃物</w:t>
      </w:r>
      <w:r>
        <w:rPr>
          <w:rFonts w:hint="eastAsia" w:ascii="仿宋_GB2312" w:hAnsi="Times New Roman" w:eastAsia="仿宋_GB2312" w:cs="仿宋_GB2312"/>
          <w:sz w:val="28"/>
          <w:szCs w:val="28"/>
          <w:lang w:val="en-US" w:eastAsia="zh-CN"/>
        </w:rPr>
        <w:t>的</w:t>
      </w:r>
      <w:r>
        <w:rPr>
          <w:rFonts w:hint="eastAsia" w:ascii="仿宋_GB2312" w:hAnsi="Times New Roman" w:eastAsia="仿宋_GB2312" w:cs="仿宋_GB2312"/>
          <w:sz w:val="28"/>
          <w:szCs w:val="28"/>
        </w:rPr>
        <w:t>院系自行收存，等待下次收集。</w:t>
      </w:r>
      <w:r>
        <w:rPr>
          <w:rFonts w:hint="eastAsia" w:ascii="仿宋_GB2312" w:hAnsi="Times New Roman" w:eastAsia="仿宋_GB2312" w:cs="仿宋_GB2312"/>
          <w:b/>
          <w:bCs/>
          <w:sz w:val="28"/>
          <w:szCs w:val="28"/>
        </w:rPr>
        <w:t>具有反应性的危险废物应经预处理，消除反应</w:t>
      </w:r>
      <w:r>
        <w:rPr>
          <w:rFonts w:hint="eastAsia" w:ascii="仿宋_GB2312" w:hAnsi="Times New Roman" w:eastAsia="仿宋_GB2312" w:cs="仿宋_GB2312"/>
          <w:b/>
          <w:bCs/>
          <w:sz w:val="28"/>
          <w:szCs w:val="28"/>
          <w:lang w:val="en-US" w:eastAsia="zh-CN"/>
        </w:rPr>
        <w:t>性</w:t>
      </w:r>
      <w:r>
        <w:rPr>
          <w:rFonts w:hint="eastAsia" w:ascii="仿宋_GB2312" w:hAnsi="Times New Roman" w:eastAsia="仿宋_GB2312" w:cs="仿宋_GB2312"/>
          <w:b/>
          <w:bCs/>
          <w:sz w:val="28"/>
          <w:szCs w:val="28"/>
        </w:rPr>
        <w:t>后方可投入容器或包装物内，不相容的危险废物不得投入同一容器或包装物</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lang w:val="en-US" w:eastAsia="zh-CN"/>
        </w:rPr>
        <w:t>常见危险物质遇水反应特点和应急处置措施及灭火方案，请参考</w:t>
      </w:r>
      <w:r>
        <w:rPr>
          <w:rFonts w:hint="eastAsia" w:ascii="仿宋_GB2312" w:hAnsi="Times New Roman" w:eastAsia="仿宋_GB2312" w:cs="仿宋_GB2312"/>
          <w:sz w:val="28"/>
          <w:szCs w:val="28"/>
        </w:rPr>
        <w:t>《遇水反应的化学品名单及应急处置措施》（见表三）</w:t>
      </w:r>
      <w:r>
        <w:rPr>
          <w:rFonts w:hint="eastAsia" w:ascii="仿宋_GB2312" w:hAnsi="Times New Roman" w:eastAsia="仿宋_GB2312" w:cs="仿宋_GB2312"/>
          <w:sz w:val="28"/>
          <w:szCs w:val="28"/>
          <w:lang w:val="en-US" w:eastAsia="zh-CN"/>
        </w:rPr>
        <w:t>执行。</w:t>
      </w:r>
    </w:p>
    <w:p w14:paraId="59A5AF47">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（三）装运期间，要求</w:t>
      </w:r>
      <w:r>
        <w:rPr>
          <w:rFonts w:hint="eastAsia" w:ascii="仿宋_GB2312" w:hAnsi="Times New Roman" w:eastAsia="仿宋_GB2312" w:cs="仿宋_GB2312"/>
          <w:sz w:val="28"/>
          <w:szCs w:val="28"/>
          <w:lang w:val="en-US" w:eastAsia="zh-CN"/>
        </w:rPr>
        <w:t>各实验室</w:t>
      </w:r>
      <w:r>
        <w:rPr>
          <w:rFonts w:hint="eastAsia" w:ascii="仿宋_GB2312" w:hAnsi="Times New Roman" w:eastAsia="仿宋_GB2312" w:cs="仿宋_GB2312"/>
          <w:sz w:val="28"/>
          <w:szCs w:val="28"/>
        </w:rPr>
        <w:t>有相关人员留守现场至</w:t>
      </w:r>
      <w:r>
        <w:rPr>
          <w:rFonts w:hint="eastAsia" w:ascii="仿宋_GB2312" w:hAnsi="Times New Roman" w:eastAsia="仿宋_GB2312" w:cs="仿宋_GB2312"/>
          <w:sz w:val="28"/>
          <w:szCs w:val="28"/>
          <w:lang w:val="en-US" w:eastAsia="zh-CN"/>
        </w:rPr>
        <w:t>收运人员搬运称重</w:t>
      </w:r>
      <w:r>
        <w:rPr>
          <w:rFonts w:hint="eastAsia" w:ascii="仿宋_GB2312" w:hAnsi="Times New Roman" w:eastAsia="仿宋_GB2312" w:cs="仿宋_GB2312"/>
          <w:sz w:val="28"/>
          <w:szCs w:val="28"/>
        </w:rPr>
        <w:t>完毕</w:t>
      </w:r>
      <w:r>
        <w:rPr>
          <w:rFonts w:hint="eastAsia" w:ascii="仿宋_GB2312" w:hAnsi="Times New Roman" w:eastAsia="仿宋_GB2312" w:cs="仿宋_GB2312"/>
          <w:sz w:val="28"/>
          <w:szCs w:val="28"/>
          <w:lang w:val="en-US" w:eastAsia="zh-CN"/>
        </w:rPr>
        <w:t>并完成交接手续</w:t>
      </w:r>
      <w:r>
        <w:rPr>
          <w:rFonts w:hint="eastAsia" w:ascii="仿宋_GB2312" w:hAnsi="Times New Roman" w:eastAsia="仿宋_GB2312" w:cs="仿宋_GB2312"/>
          <w:sz w:val="28"/>
          <w:szCs w:val="28"/>
        </w:rPr>
        <w:t>，严禁现场无人看管或危废失管失控，</w:t>
      </w:r>
      <w:r>
        <w:rPr>
          <w:rFonts w:hint="eastAsia" w:ascii="仿宋_GB2312" w:hAnsi="Times New Roman" w:eastAsia="仿宋_GB2312" w:cs="仿宋_GB2312"/>
          <w:sz w:val="28"/>
          <w:szCs w:val="28"/>
          <w:lang w:val="en-US" w:eastAsia="zh-CN"/>
        </w:rPr>
        <w:t>室内外存放点</w:t>
      </w:r>
      <w:r>
        <w:rPr>
          <w:rFonts w:hint="eastAsia" w:ascii="仿宋_GB2312" w:hAnsi="Times New Roman" w:eastAsia="仿宋_GB2312" w:cs="仿宋_GB2312"/>
          <w:sz w:val="28"/>
          <w:szCs w:val="28"/>
        </w:rPr>
        <w:t>应张贴危废贮存场所警示标志。</w:t>
      </w:r>
      <w:r>
        <w:rPr>
          <w:rFonts w:hint="eastAsia" w:ascii="仿宋_GB2312" w:hAnsi="Times New Roman" w:eastAsia="仿宋_GB2312" w:cs="仿宋_GB2312"/>
          <w:b/>
          <w:bCs/>
          <w:sz w:val="28"/>
          <w:szCs w:val="28"/>
        </w:rPr>
        <w:t>所有危险废弃物包装容器外均需粘贴国家统一</w:t>
      </w:r>
      <w:r>
        <w:rPr>
          <w:rFonts w:hint="eastAsia" w:ascii="仿宋_GB2312" w:hAnsi="Times New Roman" w:eastAsia="仿宋_GB2312" w:cs="仿宋_GB2312"/>
          <w:b/>
          <w:bCs/>
          <w:sz w:val="28"/>
          <w:szCs w:val="28"/>
          <w:lang w:val="en-US" w:eastAsia="zh-CN"/>
        </w:rPr>
        <w:t>二维码危废</w:t>
      </w:r>
      <w:r>
        <w:rPr>
          <w:rFonts w:hint="eastAsia" w:ascii="仿宋_GB2312" w:hAnsi="Times New Roman" w:eastAsia="仿宋_GB2312" w:cs="仿宋_GB2312"/>
          <w:b/>
          <w:bCs/>
          <w:sz w:val="28"/>
          <w:szCs w:val="28"/>
        </w:rPr>
        <w:t>标签</w:t>
      </w:r>
      <w:r>
        <w:rPr>
          <w:rFonts w:hint="eastAsia" w:ascii="仿宋_GB2312" w:hAnsi="Times New Roman" w:eastAsia="仿宋_GB2312" w:cs="仿宋_GB2312"/>
          <w:sz w:val="28"/>
          <w:szCs w:val="28"/>
        </w:rPr>
        <w:t>，并在桶/箱上用记号笔在显著位置按照“二级单位名称</w:t>
      </w:r>
      <w:r>
        <w:rPr>
          <w:rFonts w:hint="eastAsia" w:ascii="仿宋_GB2312" w:hAnsi="Times New Roman" w:eastAsia="仿宋_GB2312" w:cs="仿宋_GB2312"/>
          <w:sz w:val="28"/>
          <w:szCs w:val="28"/>
          <w:lang w:eastAsia="zh-CN"/>
        </w:rPr>
        <w:t>一总</w:t>
      </w:r>
      <w:r>
        <w:rPr>
          <w:rFonts w:hint="eastAsia" w:ascii="仿宋_GB2312" w:hAnsi="Times New Roman" w:eastAsia="仿宋_GB2312" w:cs="仿宋_GB2312"/>
          <w:sz w:val="28"/>
          <w:szCs w:val="28"/>
        </w:rPr>
        <w:t>桶/箱数-桶/箱序号”的格式进行标记。收</w:t>
      </w:r>
      <w:r>
        <w:rPr>
          <w:rFonts w:hint="eastAsia" w:ascii="仿宋_GB2312" w:hAnsi="Times New Roman" w:eastAsia="仿宋_GB2312" w:cs="仿宋_GB2312"/>
          <w:sz w:val="28"/>
          <w:szCs w:val="28"/>
          <w:lang w:val="en-US" w:eastAsia="zh-CN"/>
        </w:rPr>
        <w:t>运</w:t>
      </w:r>
      <w:r>
        <w:rPr>
          <w:rFonts w:hint="eastAsia" w:ascii="仿宋_GB2312" w:hAnsi="Times New Roman" w:eastAsia="仿宋_GB2312" w:cs="仿宋_GB2312"/>
          <w:sz w:val="28"/>
          <w:szCs w:val="28"/>
        </w:rPr>
        <w:t>完毕后，相关单位、</w:t>
      </w:r>
      <w:r>
        <w:rPr>
          <w:rFonts w:hint="eastAsia" w:ascii="仿宋_GB2312" w:hAnsi="Times New Roman" w:eastAsia="仿宋_GB2312" w:cs="仿宋_GB2312"/>
          <w:sz w:val="28"/>
          <w:szCs w:val="28"/>
          <w:lang w:eastAsia="zh-CN"/>
        </w:rPr>
        <w:t>实验室与设备管理处</w:t>
      </w:r>
      <w:r>
        <w:rPr>
          <w:rFonts w:hint="eastAsia" w:ascii="仿宋_GB2312" w:hAnsi="Times New Roman" w:eastAsia="仿宋_GB2312" w:cs="仿宋_GB2312"/>
          <w:sz w:val="28"/>
          <w:szCs w:val="28"/>
        </w:rPr>
        <w:t>、危废处置公司相关人员在最终拖运统计表上签字确认废弃物的种类与数量。</w:t>
      </w:r>
    </w:p>
    <w:p w14:paraId="13186ABC">
      <w:pPr>
        <w:spacing w:line="480" w:lineRule="exact"/>
        <w:ind w:firstLine="560" w:firstLineChars="200"/>
        <w:rPr>
          <w:rFonts w:hint="default"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lang w:val="en-US" w:eastAsia="zh-CN"/>
        </w:rPr>
        <w:t>四</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lang w:val="en-US" w:eastAsia="zh-CN"/>
        </w:rPr>
        <w:t>实验室危险废物贮存除应满足环境保护相关要求外，还应执行国家安全生产、治安管理、消防、卫生健康等法律法规和标准的相关要求。</w:t>
      </w:r>
    </w:p>
    <w:p w14:paraId="671D1492">
      <w:pPr>
        <w:spacing w:line="480" w:lineRule="exact"/>
        <w:ind w:firstLine="560" w:firstLineChars="200"/>
        <w:rPr>
          <w:rFonts w:ascii="黑体" w:hAnsi="Times New Roman" w:eastAsia="黑体" w:cs="Times New Roman"/>
          <w:sz w:val="28"/>
          <w:szCs w:val="28"/>
        </w:rPr>
      </w:pPr>
      <w:r>
        <w:rPr>
          <w:rFonts w:hint="eastAsia" w:ascii="黑体" w:hAnsi="Times New Roman" w:eastAsia="黑体" w:cs="黑体"/>
          <w:sz w:val="28"/>
          <w:szCs w:val="28"/>
        </w:rPr>
        <w:t>第三条</w:t>
      </w:r>
      <w:r>
        <w:rPr>
          <w:rFonts w:ascii="黑体" w:hAnsi="Times New Roman" w:eastAsia="黑体" w:cs="Times New Roman"/>
          <w:sz w:val="28"/>
          <w:szCs w:val="28"/>
        </w:rPr>
        <w:t> </w:t>
      </w:r>
      <w:r>
        <w:rPr>
          <w:rFonts w:hint="eastAsia" w:ascii="黑体" w:hAnsi="Times New Roman" w:eastAsia="黑体" w:cs="黑体"/>
          <w:sz w:val="28"/>
          <w:szCs w:val="28"/>
        </w:rPr>
        <w:t>危险化学品废弃物的分类收集和装运具体要求</w:t>
      </w:r>
    </w:p>
    <w:p w14:paraId="70C40550">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（一）液体非剧毒类实验室废物（900-047-49）</w:t>
      </w:r>
    </w:p>
    <w:p w14:paraId="34F85E8E">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1.</w:t>
      </w:r>
      <w:r>
        <w:rPr>
          <w:rFonts w:hint="eastAsia" w:ascii="仿宋_GB2312" w:hAnsi="Times New Roman" w:eastAsia="仿宋_GB2312" w:cs="仿宋_GB2312"/>
          <w:sz w:val="28"/>
          <w:szCs w:val="28"/>
        </w:rPr>
        <w:t>危险化学品废液须分类存放在符合相容性材质要求的</w:t>
      </w:r>
      <w:r>
        <w:rPr>
          <w:rFonts w:hint="eastAsia" w:ascii="仿宋_GB2312" w:hAnsi="Times New Roman" w:eastAsia="仿宋_GB2312" w:cs="仿宋_GB2312"/>
          <w:b/>
          <w:bCs/>
          <w:sz w:val="28"/>
          <w:szCs w:val="28"/>
        </w:rPr>
        <w:t>小开口废液桶</w:t>
      </w:r>
      <w:r>
        <w:rPr>
          <w:rFonts w:hint="eastAsia" w:ascii="仿宋_GB2312" w:hAnsi="Times New Roman" w:eastAsia="仿宋_GB2312" w:cs="仿宋_GB2312"/>
          <w:sz w:val="28"/>
          <w:szCs w:val="28"/>
        </w:rPr>
        <w:t>内</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lang w:val="en-US" w:eastAsia="zh-CN"/>
        </w:rPr>
        <w:t>按照学校统一的废液桶尺寸）</w:t>
      </w:r>
      <w:r>
        <w:rPr>
          <w:rFonts w:hint="eastAsia" w:ascii="仿宋_GB2312" w:hAnsi="Times New Roman" w:eastAsia="仿宋_GB2312" w:cs="仿宋_GB2312"/>
          <w:sz w:val="28"/>
          <w:szCs w:val="28"/>
        </w:rPr>
        <w:t>，如相容性较好的高密度聚乙烯材质内，</w:t>
      </w:r>
      <w:r>
        <w:rPr>
          <w:rFonts w:hint="eastAsia" w:ascii="仿宋_GB2312" w:hAnsi="Times New Roman" w:eastAsia="仿宋_GB2312" w:cs="仿宋_GB2312"/>
          <w:b/>
          <w:bCs/>
          <w:sz w:val="28"/>
          <w:szCs w:val="28"/>
        </w:rPr>
        <w:t>桶外须粘贴国家统一</w:t>
      </w:r>
      <w:r>
        <w:rPr>
          <w:rFonts w:hint="eastAsia" w:ascii="仿宋_GB2312" w:hAnsi="Times New Roman" w:eastAsia="仿宋_GB2312" w:cs="仿宋_GB2312"/>
          <w:b/>
          <w:bCs/>
          <w:sz w:val="28"/>
          <w:szCs w:val="28"/>
          <w:lang w:val="en-US" w:eastAsia="zh-CN"/>
        </w:rPr>
        <w:t>二维码危废</w:t>
      </w:r>
      <w:r>
        <w:rPr>
          <w:rFonts w:hint="eastAsia" w:ascii="仿宋_GB2312" w:hAnsi="Times New Roman" w:eastAsia="仿宋_GB2312" w:cs="仿宋_GB2312"/>
          <w:b/>
          <w:bCs/>
          <w:sz w:val="28"/>
          <w:szCs w:val="28"/>
        </w:rPr>
        <w:t>标签</w:t>
      </w:r>
      <w:r>
        <w:rPr>
          <w:rFonts w:hint="eastAsia" w:ascii="仿宋_GB2312" w:hAnsi="Times New Roman" w:eastAsia="仿宋_GB2312" w:cs="仿宋_GB2312"/>
          <w:b/>
          <w:bCs/>
          <w:sz w:val="28"/>
          <w:szCs w:val="28"/>
          <w:lang w:eastAsia="zh-CN"/>
        </w:rPr>
        <w:t>，</w:t>
      </w:r>
      <w:r>
        <w:rPr>
          <w:rFonts w:hint="eastAsia" w:ascii="仿宋_GB2312" w:hAnsi="Times New Roman" w:eastAsia="仿宋_GB2312" w:cs="仿宋_GB2312"/>
          <w:b/>
          <w:bCs/>
          <w:sz w:val="28"/>
          <w:szCs w:val="28"/>
          <w:lang w:val="en-US" w:eastAsia="zh-CN"/>
        </w:rPr>
        <w:t>标签上的废物</w:t>
      </w:r>
      <w:bookmarkStart w:id="0" w:name="_GoBack"/>
      <w:bookmarkEnd w:id="0"/>
      <w:r>
        <w:rPr>
          <w:rFonts w:hint="eastAsia" w:ascii="仿宋_GB2312" w:hAnsi="Times New Roman" w:eastAsia="仿宋_GB2312" w:cs="仿宋_GB2312"/>
          <w:b/>
          <w:bCs/>
          <w:sz w:val="28"/>
          <w:szCs w:val="28"/>
          <w:lang w:val="en-US" w:eastAsia="zh-CN"/>
        </w:rPr>
        <w:t>形态、重量、日期需填写完整。确认学校发放的已生成危废标签上信息符合危险废物实际</w:t>
      </w:r>
      <w:r>
        <w:rPr>
          <w:rFonts w:hint="eastAsia" w:ascii="仿宋_GB2312" w:hAnsi="Times New Roman" w:eastAsia="仿宋_GB2312" w:cs="仿宋_GB2312"/>
          <w:b/>
          <w:bCs/>
          <w:sz w:val="28"/>
          <w:szCs w:val="28"/>
        </w:rPr>
        <w:t>。</w:t>
      </w:r>
      <w:r>
        <w:rPr>
          <w:rFonts w:hint="eastAsia" w:ascii="仿宋_GB2312" w:hAnsi="Times New Roman" w:eastAsia="仿宋_GB2312" w:cs="仿宋_GB2312"/>
          <w:sz w:val="28"/>
          <w:szCs w:val="28"/>
        </w:rPr>
        <w:t>为了防止漏液的发生，要求所用的废液桶必须是桶壁厚实，</w:t>
      </w:r>
      <w:r>
        <w:rPr>
          <w:rFonts w:hint="eastAsia" w:ascii="仿宋_GB2312" w:hAnsi="Times New Roman" w:eastAsia="仿宋_GB2312" w:cs="仿宋_GB2312"/>
          <w:b/>
          <w:bCs/>
          <w:sz w:val="28"/>
          <w:szCs w:val="28"/>
        </w:rPr>
        <w:t>用前检查无渗漏点，内盖有硅胶密封圈，外盖能严丝合缝</w:t>
      </w:r>
      <w:r>
        <w:rPr>
          <w:rFonts w:hint="eastAsia" w:ascii="仿宋_GB2312" w:hAnsi="Times New Roman" w:eastAsia="仿宋_GB2312" w:cs="仿宋_GB2312"/>
          <w:sz w:val="28"/>
          <w:szCs w:val="28"/>
        </w:rPr>
        <w:t>，不可装得过满，须保留</w:t>
      </w:r>
      <w:r>
        <w:rPr>
          <w:rFonts w:hint="eastAsia" w:ascii="仿宋_GB2312" w:hAnsi="Times New Roman" w:eastAsia="仿宋_GB2312" w:cs="仿宋_GB2312"/>
          <w:sz w:val="28"/>
          <w:szCs w:val="28"/>
          <w:lang w:val="en-US" w:eastAsia="zh-CN"/>
        </w:rPr>
        <w:t>不少于15％</w:t>
      </w:r>
      <w:r>
        <w:rPr>
          <w:rFonts w:hint="eastAsia" w:ascii="仿宋_GB2312" w:hAnsi="Times New Roman" w:eastAsia="仿宋_GB2312" w:cs="仿宋_GB2312"/>
          <w:sz w:val="28"/>
          <w:szCs w:val="28"/>
        </w:rPr>
        <w:t>的剩余空间。</w:t>
      </w:r>
    </w:p>
    <w:p w14:paraId="57C12366">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lang w:eastAsia="zh-CN"/>
        </w:rPr>
        <w:t>2.</w:t>
      </w:r>
      <w:r>
        <w:rPr>
          <w:rFonts w:hint="eastAsia" w:ascii="仿宋_GB2312" w:hAnsi="Times New Roman" w:eastAsia="仿宋_GB2312" w:cs="仿宋_GB2312"/>
          <w:sz w:val="28"/>
          <w:szCs w:val="28"/>
        </w:rPr>
        <w:t>容易发生异常反应的废液（见表二）严禁混装，应单独暂存于</w:t>
      </w:r>
      <w:r>
        <w:rPr>
          <w:rFonts w:hint="eastAsia" w:ascii="仿宋_GB2312" w:hAnsi="Times New Roman" w:eastAsia="仿宋_GB2312" w:cs="仿宋_GB2312"/>
          <w:sz w:val="28"/>
          <w:szCs w:val="28"/>
          <w:lang w:eastAsia="zh-CN"/>
        </w:rPr>
        <w:t>其他</w:t>
      </w:r>
      <w:r>
        <w:rPr>
          <w:rFonts w:hint="eastAsia" w:ascii="仿宋_GB2312" w:hAnsi="Times New Roman" w:eastAsia="仿宋_GB2312" w:cs="仿宋_GB2312"/>
          <w:sz w:val="28"/>
          <w:szCs w:val="28"/>
        </w:rPr>
        <w:t>容器中，并贴上标签。</w:t>
      </w:r>
    </w:p>
    <w:p w14:paraId="3A5968C6">
      <w:pPr>
        <w:spacing w:line="480" w:lineRule="exact"/>
        <w:ind w:firstLine="562" w:firstLineChars="200"/>
        <w:rPr>
          <w:rFonts w:ascii="楷体_GB2312" w:hAnsi="Times New Roman" w:eastAsia="楷体_GB2312" w:cs="楷体_GB2312"/>
          <w:b/>
          <w:bCs/>
          <w:sz w:val="28"/>
          <w:szCs w:val="28"/>
        </w:rPr>
      </w:pPr>
      <w:r>
        <w:rPr>
          <w:rFonts w:hint="eastAsia" w:ascii="楷体_GB2312" w:hAnsi="Times New Roman" w:eastAsia="楷体_GB2312" w:cs="楷体_GB2312"/>
          <w:b/>
          <w:bCs/>
          <w:sz w:val="28"/>
          <w:szCs w:val="28"/>
        </w:rPr>
        <w:t>（二）固体非剧毒类实验室废物（900-047-49）</w:t>
      </w:r>
    </w:p>
    <w:p w14:paraId="0C32125A">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rPr>
        <w:t>固体危险化学品废弃物</w:t>
      </w:r>
      <w:r>
        <w:rPr>
          <w:rFonts w:hint="eastAsia" w:ascii="仿宋_GB2312" w:hAnsi="Times New Roman" w:eastAsia="仿宋_GB2312" w:cs="仿宋_GB2312"/>
          <w:b/>
          <w:bCs/>
          <w:sz w:val="28"/>
          <w:szCs w:val="28"/>
          <w:lang w:eastAsia="zh-CN"/>
        </w:rPr>
        <w:t>（</w:t>
      </w:r>
      <w:r>
        <w:rPr>
          <w:rFonts w:hint="eastAsia" w:ascii="仿宋_GB2312" w:hAnsi="Times New Roman" w:eastAsia="仿宋_GB2312" w:cs="仿宋_GB2312"/>
          <w:b/>
          <w:bCs/>
          <w:sz w:val="28"/>
          <w:szCs w:val="28"/>
          <w:lang w:val="en-US" w:eastAsia="zh-CN"/>
        </w:rPr>
        <w:t>有机/无机）</w:t>
      </w:r>
      <w:r>
        <w:rPr>
          <w:rFonts w:hint="eastAsia" w:ascii="仿宋_GB2312" w:hAnsi="Times New Roman" w:eastAsia="仿宋_GB2312" w:cs="仿宋_GB2312"/>
          <w:b/>
          <w:bCs/>
          <w:sz w:val="28"/>
          <w:szCs w:val="28"/>
        </w:rPr>
        <w:t>必须</w:t>
      </w:r>
      <w:r>
        <w:rPr>
          <w:rFonts w:hint="eastAsia" w:ascii="仿宋_GB2312" w:hAnsi="Times New Roman" w:eastAsia="仿宋_GB2312" w:cs="仿宋_GB2312"/>
          <w:b/>
          <w:bCs/>
          <w:sz w:val="28"/>
          <w:szCs w:val="28"/>
          <w:lang w:val="en-US" w:eastAsia="zh-CN"/>
        </w:rPr>
        <w:t>分类</w:t>
      </w:r>
      <w:r>
        <w:rPr>
          <w:rFonts w:hint="eastAsia" w:ascii="仿宋_GB2312" w:hAnsi="Times New Roman" w:eastAsia="仿宋_GB2312" w:cs="仿宋_GB2312"/>
          <w:b/>
          <w:bCs/>
          <w:sz w:val="28"/>
          <w:szCs w:val="28"/>
        </w:rPr>
        <w:t>存放在相应的容器内</w:t>
      </w:r>
      <w:r>
        <w:rPr>
          <w:rFonts w:hint="eastAsia" w:ascii="仿宋_GB2312" w:hAnsi="Times New Roman" w:eastAsia="仿宋_GB2312" w:cs="仿宋_GB2312"/>
          <w:sz w:val="28"/>
          <w:szCs w:val="28"/>
        </w:rPr>
        <w:t>，如开口桶，并外加</w:t>
      </w:r>
      <w:r>
        <w:rPr>
          <w:rFonts w:hint="eastAsia" w:ascii="仿宋_GB2312" w:hAnsi="Times New Roman" w:eastAsia="仿宋_GB2312" w:cs="仿宋_GB2312"/>
          <w:sz w:val="28"/>
          <w:szCs w:val="28"/>
          <w:lang w:eastAsia="zh-CN"/>
        </w:rPr>
        <w:t>标识</w:t>
      </w: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固体废弃物包装前应不含残留液体，包装物应具有一定强度且可密封。</w:t>
      </w:r>
      <w:r>
        <w:rPr>
          <w:rFonts w:hint="eastAsia" w:ascii="仿宋_GB2312" w:hAnsi="Times New Roman" w:eastAsia="仿宋_GB2312" w:cs="仿宋_GB2312"/>
          <w:sz w:val="28"/>
          <w:szCs w:val="28"/>
        </w:rPr>
        <w:t>轻质、干燥、低毒的固体废物可</w:t>
      </w:r>
      <w:r>
        <w:rPr>
          <w:rFonts w:hint="eastAsia" w:ascii="仿宋_GB2312" w:hAnsi="Times New Roman" w:eastAsia="仿宋_GB2312" w:cs="仿宋_GB2312"/>
          <w:b/>
          <w:bCs/>
          <w:sz w:val="28"/>
          <w:szCs w:val="28"/>
        </w:rPr>
        <w:t>分类集中存放在结实加固的纸箱内。</w:t>
      </w:r>
      <w:r>
        <w:rPr>
          <w:rFonts w:hint="eastAsia" w:ascii="仿宋_GB2312" w:hAnsi="Times New Roman" w:eastAsia="仿宋_GB2312" w:cs="仿宋_GB2312"/>
          <w:sz w:val="28"/>
          <w:szCs w:val="28"/>
        </w:rPr>
        <w:t>容器或纸箱外要粘贴国家统一</w:t>
      </w:r>
      <w:r>
        <w:rPr>
          <w:rFonts w:hint="eastAsia" w:ascii="仿宋_GB2312" w:hAnsi="Times New Roman" w:eastAsia="仿宋_GB2312" w:cs="仿宋_GB2312"/>
          <w:sz w:val="28"/>
          <w:szCs w:val="28"/>
          <w:lang w:val="en-US" w:eastAsia="zh-CN"/>
        </w:rPr>
        <w:t>二维码危废</w:t>
      </w:r>
      <w:r>
        <w:rPr>
          <w:rFonts w:hint="eastAsia" w:ascii="仿宋_GB2312" w:hAnsi="Times New Roman" w:eastAsia="仿宋_GB2312" w:cs="仿宋_GB2312"/>
          <w:sz w:val="28"/>
          <w:szCs w:val="28"/>
        </w:rPr>
        <w:t>标签。所有的危险化学品固体废弃物容器须密封良好。需高度重视易燃、易爆的固体危险化学品，全流程严格把关，确保包装、贮存、运输安全。</w:t>
      </w:r>
    </w:p>
    <w:p w14:paraId="713A7DA9">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（三）含剧毒类实验室废弃物（900-047-49）</w:t>
      </w:r>
    </w:p>
    <w:p w14:paraId="5B096CB7">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rPr>
        <w:t>《危险化学品勾选清单》对《剧毒化学品名录（2015版）》中的剧毒化学品进行了标注，应</w:t>
      </w:r>
      <w:r>
        <w:rPr>
          <w:rFonts w:hint="eastAsia" w:ascii="仿宋_GB2312" w:hAnsi="Times New Roman" w:eastAsia="仿宋_GB2312" w:cs="仿宋_GB2312"/>
          <w:sz w:val="28"/>
          <w:szCs w:val="28"/>
          <w:lang w:val="en-US" w:eastAsia="zh-CN"/>
        </w:rPr>
        <w:t>进行反复核对，并</w:t>
      </w:r>
      <w:r>
        <w:rPr>
          <w:rFonts w:hint="eastAsia" w:ascii="仿宋_GB2312" w:hAnsi="Times New Roman" w:eastAsia="仿宋_GB2312" w:cs="仿宋_GB2312"/>
          <w:sz w:val="28"/>
          <w:szCs w:val="28"/>
        </w:rPr>
        <w:t>按照上述标签规范，</w:t>
      </w:r>
      <w:r>
        <w:rPr>
          <w:rFonts w:hint="eastAsia" w:ascii="仿宋_GB2312" w:hAnsi="Times New Roman" w:eastAsia="仿宋_GB2312" w:cs="仿宋_GB2312"/>
          <w:b/>
          <w:bCs/>
          <w:sz w:val="28"/>
          <w:szCs w:val="28"/>
        </w:rPr>
        <w:t>暂存在单独的容器中</w:t>
      </w:r>
      <w:r>
        <w:rPr>
          <w:rFonts w:hint="eastAsia" w:ascii="仿宋_GB2312" w:hAnsi="Times New Roman" w:eastAsia="仿宋_GB2312" w:cs="仿宋_GB2312"/>
          <w:sz w:val="28"/>
          <w:szCs w:val="28"/>
        </w:rPr>
        <w:t>，不可将几种剧毒物质混在一个容器中，或将剧毒物质倒入其他装有废液的桶里，必须按剧毒试剂管理的规定进行妥善保管和出库，含包装称重并粘贴国家统一</w:t>
      </w:r>
      <w:r>
        <w:rPr>
          <w:rFonts w:hint="eastAsia" w:ascii="仿宋_GB2312" w:hAnsi="Times New Roman" w:eastAsia="仿宋_GB2312" w:cs="仿宋_GB2312"/>
          <w:sz w:val="28"/>
          <w:szCs w:val="28"/>
          <w:lang w:val="en-US" w:eastAsia="zh-CN"/>
        </w:rPr>
        <w:t>二维码危废</w:t>
      </w:r>
      <w:r>
        <w:rPr>
          <w:rFonts w:hint="eastAsia" w:ascii="仿宋_GB2312" w:hAnsi="Times New Roman" w:eastAsia="仿宋_GB2312" w:cs="仿宋_GB2312"/>
          <w:sz w:val="28"/>
          <w:szCs w:val="28"/>
        </w:rPr>
        <w:t>标签，回收处置当天由</w:t>
      </w:r>
      <w:r>
        <w:rPr>
          <w:rFonts w:hint="eastAsia" w:ascii="仿宋_GB2312" w:hAnsi="Times New Roman" w:eastAsia="仿宋_GB2312" w:cs="仿宋_GB2312"/>
          <w:b/>
          <w:bCs/>
          <w:sz w:val="28"/>
          <w:szCs w:val="28"/>
        </w:rPr>
        <w:t>双人运输单独交至</w:t>
      </w:r>
      <w:r>
        <w:rPr>
          <w:rFonts w:hint="eastAsia" w:ascii="仿宋_GB2312" w:hAnsi="Times New Roman" w:eastAsia="仿宋_GB2312" w:cs="仿宋_GB2312"/>
          <w:b/>
          <w:bCs/>
          <w:sz w:val="28"/>
          <w:szCs w:val="28"/>
          <w:lang w:val="en-US" w:eastAsia="zh-CN"/>
        </w:rPr>
        <w:t>校内转运机构</w:t>
      </w:r>
      <w:r>
        <w:rPr>
          <w:rFonts w:hint="eastAsia" w:ascii="仿宋_GB2312" w:hAnsi="Times New Roman" w:eastAsia="仿宋_GB2312" w:cs="仿宋_GB2312"/>
          <w:sz w:val="28"/>
          <w:szCs w:val="28"/>
        </w:rPr>
        <w:t>负责人。依据</w:t>
      </w:r>
      <w:r>
        <w:rPr>
          <w:rFonts w:hint="eastAsia" w:ascii="仿宋_GB2312" w:hAnsi="Times New Roman" w:eastAsia="仿宋_GB2312" w:cs="仿宋_GB2312"/>
          <w:sz w:val="28"/>
          <w:szCs w:val="28"/>
          <w:lang w:val="en-US" w:eastAsia="zh-CN"/>
        </w:rPr>
        <w:t>武汉市公安部门关于</w:t>
      </w:r>
      <w:r>
        <w:rPr>
          <w:rFonts w:hint="eastAsia" w:ascii="仿宋_GB2312" w:hAnsi="Times New Roman" w:eastAsia="仿宋_GB2312" w:cs="仿宋_GB2312"/>
          <w:sz w:val="28"/>
          <w:szCs w:val="28"/>
        </w:rPr>
        <w:t>“购买学院需向公安部门审批，具备剧毒小剂量暂存室且通过专业机构安全评估方能进行使用”的有关</w:t>
      </w:r>
      <w:r>
        <w:rPr>
          <w:rFonts w:hint="eastAsia" w:ascii="仿宋_GB2312" w:hAnsi="Times New Roman" w:eastAsia="仿宋_GB2312" w:cs="仿宋_GB2312"/>
          <w:sz w:val="28"/>
          <w:szCs w:val="28"/>
          <w:lang w:val="en-US" w:eastAsia="zh-CN"/>
        </w:rPr>
        <w:t>要求，已</w:t>
      </w:r>
      <w:r>
        <w:rPr>
          <w:rFonts w:hint="eastAsia" w:ascii="仿宋_GB2312" w:hAnsi="Times New Roman" w:eastAsia="仿宋_GB2312" w:cs="仿宋_GB2312"/>
          <w:sz w:val="28"/>
          <w:szCs w:val="28"/>
        </w:rPr>
        <w:t>对我校剧毒注册账号注销。各单位</w:t>
      </w:r>
      <w:r>
        <w:rPr>
          <w:rFonts w:hint="eastAsia" w:ascii="仿宋_GB2312" w:hAnsi="Times New Roman" w:eastAsia="仿宋_GB2312" w:cs="仿宋_GB2312"/>
          <w:sz w:val="28"/>
          <w:szCs w:val="28"/>
          <w:lang w:val="en-US" w:eastAsia="zh-CN"/>
        </w:rPr>
        <w:t>应</w:t>
      </w:r>
      <w:r>
        <w:rPr>
          <w:rFonts w:hint="eastAsia" w:ascii="仿宋_GB2312" w:hAnsi="Times New Roman" w:eastAsia="仿宋_GB2312" w:cs="仿宋_GB2312"/>
          <w:sz w:val="28"/>
          <w:szCs w:val="28"/>
        </w:rPr>
        <w:t>严格执行国家对剧毒化学品购买的准入管理有关规定</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rPr>
        <w:t>对历史库存的剧毒化学品应及时进行清理</w:t>
      </w:r>
      <w:r>
        <w:rPr>
          <w:rFonts w:hint="eastAsia" w:ascii="仿宋_GB2312" w:hAnsi="Times New Roman" w:eastAsia="仿宋_GB2312" w:cs="仿宋_GB2312"/>
          <w:sz w:val="28"/>
          <w:szCs w:val="28"/>
          <w:lang w:val="en-US" w:eastAsia="zh-CN"/>
        </w:rPr>
        <w:t>完毕</w:t>
      </w:r>
      <w:r>
        <w:rPr>
          <w:rFonts w:hint="eastAsia" w:ascii="仿宋_GB2312" w:hAnsi="Times New Roman" w:eastAsia="仿宋_GB2312" w:cs="仿宋_GB2312"/>
          <w:sz w:val="28"/>
          <w:szCs w:val="28"/>
        </w:rPr>
        <w:t>，如有清理出剧毒化学品的应符合“五双”要求进行管理，</w:t>
      </w:r>
      <w:r>
        <w:rPr>
          <w:rFonts w:hint="eastAsia" w:ascii="仿宋_GB2312" w:hAnsi="Times New Roman" w:eastAsia="仿宋_GB2312" w:cs="仿宋_GB2312"/>
          <w:b/>
          <w:bCs/>
          <w:sz w:val="28"/>
          <w:szCs w:val="28"/>
          <w:lang w:val="en-US" w:eastAsia="zh-CN"/>
        </w:rPr>
        <w:t>并</w:t>
      </w:r>
      <w:r>
        <w:rPr>
          <w:rFonts w:hint="eastAsia" w:ascii="仿宋_GB2312" w:hAnsi="Times New Roman" w:eastAsia="仿宋_GB2312" w:cs="仿宋_GB2312"/>
          <w:b/>
          <w:bCs/>
          <w:sz w:val="28"/>
          <w:szCs w:val="28"/>
        </w:rPr>
        <w:t>专题向保卫处和实验室与设备管理处报告相关溯源情况并尽快依法进行处置</w:t>
      </w:r>
      <w:r>
        <w:rPr>
          <w:rFonts w:hint="eastAsia" w:ascii="仿宋_GB2312" w:hAnsi="Times New Roman" w:eastAsia="仿宋_GB2312" w:cs="仿宋_GB2312"/>
          <w:sz w:val="28"/>
          <w:szCs w:val="28"/>
        </w:rPr>
        <w:t>。</w:t>
      </w:r>
    </w:p>
    <w:p w14:paraId="493FFF60">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（四）废弃包装容器（900-041-49）</w:t>
      </w:r>
    </w:p>
    <w:p w14:paraId="0CAE3FCF">
      <w:pPr>
        <w:spacing w:line="480" w:lineRule="exact"/>
        <w:ind w:firstLine="560" w:firstLineChars="200"/>
        <w:rPr>
          <w:rFonts w:hint="default"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rPr>
        <w:t>危险化学品试剂空瓶</w:t>
      </w:r>
      <w:r>
        <w:rPr>
          <w:rFonts w:hint="eastAsia" w:ascii="仿宋_GB2312" w:hAnsi="Times New Roman" w:eastAsia="仿宋_GB2312" w:cs="仿宋_GB2312"/>
          <w:sz w:val="28"/>
          <w:szCs w:val="28"/>
          <w:lang w:val="en-US" w:eastAsia="zh-CN"/>
        </w:rPr>
        <w:t>应瓶口朝上</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b/>
          <w:bCs/>
          <w:sz w:val="28"/>
          <w:szCs w:val="28"/>
        </w:rPr>
        <w:t>密封加固后统一存放在结实的纸箱内</w:t>
      </w: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防止泄漏、磕碰，并在容器外部标注朝上的方向标识。</w:t>
      </w:r>
      <w:r>
        <w:rPr>
          <w:rFonts w:hint="eastAsia" w:ascii="仿宋_GB2312" w:hAnsi="Times New Roman" w:eastAsia="仿宋_GB2312" w:cs="仿宋_GB2312"/>
          <w:sz w:val="28"/>
          <w:szCs w:val="28"/>
        </w:rPr>
        <w:t>并在纸箱外粘贴国家统一</w:t>
      </w:r>
      <w:r>
        <w:rPr>
          <w:rFonts w:hint="eastAsia" w:ascii="仿宋_GB2312" w:hAnsi="Times New Roman" w:eastAsia="仿宋_GB2312" w:cs="仿宋_GB2312"/>
          <w:sz w:val="28"/>
          <w:szCs w:val="28"/>
          <w:lang w:val="en-US" w:eastAsia="zh-CN"/>
        </w:rPr>
        <w:t>二维码危废</w:t>
      </w:r>
      <w:r>
        <w:rPr>
          <w:rFonts w:hint="eastAsia" w:ascii="仿宋_GB2312" w:hAnsi="Times New Roman" w:eastAsia="仿宋_GB2312" w:cs="仿宋_GB2312"/>
          <w:sz w:val="28"/>
          <w:szCs w:val="28"/>
        </w:rPr>
        <w:t>标签，标明试剂空瓶。重点注意严禁纸箱中的试剂空瓶内有废液，废弃空瓶与其他实验室废弃物必须分类装箱保存。</w:t>
      </w:r>
      <w:r>
        <w:rPr>
          <w:rFonts w:hint="eastAsia" w:ascii="仿宋_GB2312" w:hAnsi="Times New Roman" w:eastAsia="仿宋_GB2312" w:cs="仿宋_GB2312"/>
          <w:sz w:val="28"/>
          <w:szCs w:val="28"/>
          <w:lang w:val="en-US" w:eastAsia="zh-CN"/>
        </w:rPr>
        <w:t>破碎玻璃器皿、针头等应存放于锐器盒内。</w:t>
      </w:r>
    </w:p>
    <w:p w14:paraId="309C3A0D">
      <w:pPr>
        <w:spacing w:line="480" w:lineRule="exact"/>
        <w:ind w:firstLine="560" w:firstLineChars="200"/>
        <w:rPr>
          <w:rFonts w:ascii="黑体" w:hAnsi="Times New Roman" w:eastAsia="黑体" w:cs="Times New Roman"/>
          <w:sz w:val="28"/>
          <w:szCs w:val="28"/>
        </w:rPr>
      </w:pPr>
      <w:r>
        <w:rPr>
          <w:rFonts w:hint="eastAsia" w:ascii="黑体" w:hAnsi="Times New Roman" w:eastAsia="黑体" w:cs="黑体"/>
          <w:sz w:val="28"/>
          <w:szCs w:val="28"/>
        </w:rPr>
        <w:t>第四条</w:t>
      </w:r>
      <w:r>
        <w:rPr>
          <w:rFonts w:ascii="黑体" w:hAnsi="Times New Roman" w:eastAsia="黑体" w:cs="黑体"/>
          <w:sz w:val="28"/>
          <w:szCs w:val="28"/>
        </w:rPr>
        <w:t xml:space="preserve"> </w:t>
      </w:r>
      <w:r>
        <w:rPr>
          <w:rFonts w:hint="eastAsia" w:ascii="黑体" w:hAnsi="Times New Roman" w:eastAsia="黑体" w:cs="黑体"/>
          <w:sz w:val="28"/>
          <w:szCs w:val="28"/>
        </w:rPr>
        <w:t>出现下列情况处置方将因拒收而不能上路</w:t>
      </w:r>
    </w:p>
    <w:p w14:paraId="65B233F6">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（一）存放液体实验室废物的废液桶</w:t>
      </w:r>
      <w:r>
        <w:rPr>
          <w:rFonts w:hint="eastAsia" w:ascii="楷体_GB2312" w:hAnsi="Times New Roman" w:eastAsia="楷体_GB2312" w:cs="楷体_GB2312"/>
          <w:b/>
          <w:bCs/>
          <w:sz w:val="28"/>
          <w:szCs w:val="28"/>
          <w:lang w:val="en-US" w:eastAsia="zh-CN"/>
        </w:rPr>
        <w:t>储存</w:t>
      </w:r>
      <w:r>
        <w:rPr>
          <w:rFonts w:hint="eastAsia" w:ascii="楷体_GB2312" w:hAnsi="Times New Roman" w:eastAsia="楷体_GB2312" w:cs="楷体_GB2312"/>
          <w:b/>
          <w:bCs/>
          <w:sz w:val="28"/>
          <w:szCs w:val="28"/>
        </w:rPr>
        <w:t>不</w:t>
      </w:r>
      <w:r>
        <w:rPr>
          <w:rFonts w:hint="eastAsia" w:ascii="楷体_GB2312" w:hAnsi="Times New Roman" w:eastAsia="楷体_GB2312" w:cs="楷体_GB2312"/>
          <w:b/>
          <w:bCs/>
          <w:sz w:val="28"/>
          <w:szCs w:val="28"/>
          <w:lang w:val="en-US" w:eastAsia="zh-CN"/>
        </w:rPr>
        <w:t>符</w:t>
      </w:r>
      <w:r>
        <w:rPr>
          <w:rFonts w:hint="eastAsia" w:ascii="楷体_GB2312" w:hAnsi="Times New Roman" w:eastAsia="楷体_GB2312" w:cs="楷体_GB2312"/>
          <w:b/>
          <w:bCs/>
          <w:sz w:val="28"/>
          <w:szCs w:val="28"/>
        </w:rPr>
        <w:t>合要求：</w:t>
      </w:r>
    </w:p>
    <w:p w14:paraId="67419D70">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1.</w:t>
      </w:r>
      <w:r>
        <w:rPr>
          <w:rFonts w:hint="eastAsia" w:ascii="仿宋_GB2312" w:hAnsi="Times New Roman" w:eastAsia="仿宋_GB2312" w:cs="仿宋_GB2312"/>
          <w:sz w:val="28"/>
          <w:szCs w:val="28"/>
        </w:rPr>
        <w:t>存装废液的容器不是</w:t>
      </w:r>
      <w:r>
        <w:rPr>
          <w:rFonts w:hint="eastAsia" w:ascii="仿宋_GB2312" w:hAnsi="Times New Roman" w:eastAsia="仿宋_GB2312" w:cs="仿宋_GB2312"/>
          <w:sz w:val="28"/>
          <w:szCs w:val="28"/>
          <w:lang w:val="en-US" w:eastAsia="zh-CN"/>
        </w:rPr>
        <w:t>符合要求</w:t>
      </w:r>
      <w:r>
        <w:rPr>
          <w:rFonts w:hint="eastAsia" w:ascii="仿宋_GB2312" w:hAnsi="Times New Roman" w:eastAsia="仿宋_GB2312" w:cs="仿宋_GB2312"/>
          <w:sz w:val="28"/>
          <w:szCs w:val="28"/>
        </w:rPr>
        <w:t>的小口废液桶</w:t>
      </w:r>
    </w:p>
    <w:p w14:paraId="1C80D851">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2.</w:t>
      </w:r>
      <w:r>
        <w:rPr>
          <w:rFonts w:hint="eastAsia" w:ascii="仿宋_GB2312" w:hAnsi="Times New Roman" w:eastAsia="仿宋_GB2312" w:cs="仿宋_GB2312"/>
          <w:sz w:val="28"/>
          <w:szCs w:val="28"/>
        </w:rPr>
        <w:t>废液桶漏液，桶壁较多废液，或密封不严，可能导致渗漏</w:t>
      </w:r>
    </w:p>
    <w:p w14:paraId="32002920">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3.</w:t>
      </w:r>
      <w:r>
        <w:rPr>
          <w:rFonts w:hint="eastAsia" w:ascii="仿宋_GB2312" w:hAnsi="Times New Roman" w:eastAsia="仿宋_GB2312" w:cs="仿宋_GB2312"/>
          <w:sz w:val="28"/>
          <w:szCs w:val="28"/>
        </w:rPr>
        <w:t>桶外壁没有国家统一</w:t>
      </w:r>
      <w:r>
        <w:rPr>
          <w:rFonts w:hint="eastAsia" w:ascii="仿宋_GB2312" w:hAnsi="Times New Roman" w:eastAsia="仿宋_GB2312" w:cs="仿宋_GB2312"/>
          <w:sz w:val="28"/>
          <w:szCs w:val="28"/>
          <w:lang w:val="en-US" w:eastAsia="zh-CN"/>
        </w:rPr>
        <w:t>二维码危废</w:t>
      </w:r>
      <w:r>
        <w:rPr>
          <w:rFonts w:hint="eastAsia" w:ascii="仿宋_GB2312" w:hAnsi="Times New Roman" w:eastAsia="仿宋_GB2312" w:cs="仿宋_GB2312"/>
          <w:sz w:val="28"/>
          <w:szCs w:val="28"/>
        </w:rPr>
        <w:t>标签和粘贴纸质台账或标签信息不全</w:t>
      </w:r>
    </w:p>
    <w:p w14:paraId="558BA7A3">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4.</w:t>
      </w:r>
      <w:r>
        <w:rPr>
          <w:rFonts w:hint="eastAsia" w:ascii="仿宋_GB2312" w:hAnsi="Times New Roman" w:eastAsia="仿宋_GB2312" w:cs="仿宋_GB2312"/>
          <w:sz w:val="28"/>
          <w:szCs w:val="28"/>
        </w:rPr>
        <w:t>废液桶磨损严重，不宜再使用</w:t>
      </w:r>
    </w:p>
    <w:p w14:paraId="301D8F48">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eastAsia="zh-CN"/>
        </w:rPr>
        <w:t>5.</w:t>
      </w:r>
      <w:r>
        <w:rPr>
          <w:rFonts w:hint="eastAsia" w:ascii="仿宋_GB2312" w:hAnsi="Times New Roman" w:eastAsia="仿宋_GB2312" w:cs="仿宋_GB2312"/>
          <w:sz w:val="28"/>
          <w:szCs w:val="28"/>
        </w:rPr>
        <w:t>不相容废液存放在同一废液桶内</w:t>
      </w:r>
    </w:p>
    <w:p w14:paraId="6DB3C09D">
      <w:pPr>
        <w:spacing w:line="480" w:lineRule="exact"/>
        <w:ind w:firstLine="560" w:firstLineChars="200"/>
        <w:rPr>
          <w:rFonts w:hint="eastAsia"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val="en-US" w:eastAsia="zh-CN"/>
        </w:rPr>
        <w:t>6.申报或处置的危险化学品废弃物含有病原微生物、动物尸体或放射性核素</w:t>
      </w:r>
    </w:p>
    <w:p w14:paraId="13DD1A9F">
      <w:pPr>
        <w:spacing w:line="480" w:lineRule="exact"/>
        <w:ind w:firstLine="560" w:firstLineChars="200"/>
        <w:rPr>
          <w:rFonts w:hint="default"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val="en-US" w:eastAsia="zh-CN"/>
        </w:rPr>
        <w:t>7.含有未申报的剧毒类管制品或不属于剧毒按照剧毒标注的</w:t>
      </w:r>
    </w:p>
    <w:p w14:paraId="7E4C340D">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（二）存放废弃包装容器空瓶的纸箱不符合要求：</w:t>
      </w:r>
    </w:p>
    <w:p w14:paraId="54E4DA89">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1.</w:t>
      </w:r>
      <w:r>
        <w:rPr>
          <w:rFonts w:hint="eastAsia" w:ascii="仿宋_GB2312" w:hAnsi="Times New Roman" w:eastAsia="仿宋_GB2312" w:cs="仿宋_GB2312"/>
          <w:sz w:val="28"/>
          <w:szCs w:val="28"/>
        </w:rPr>
        <w:t>纸箱外部没有国家统一</w:t>
      </w:r>
      <w:r>
        <w:rPr>
          <w:rFonts w:hint="eastAsia" w:ascii="仿宋_GB2312" w:hAnsi="Times New Roman" w:eastAsia="仿宋_GB2312" w:cs="仿宋_GB2312"/>
          <w:sz w:val="28"/>
          <w:szCs w:val="28"/>
          <w:lang w:val="en-US" w:eastAsia="zh-CN"/>
        </w:rPr>
        <w:t>二维码危废</w:t>
      </w:r>
      <w:r>
        <w:rPr>
          <w:rFonts w:hint="eastAsia" w:ascii="仿宋_GB2312" w:hAnsi="Times New Roman" w:eastAsia="仿宋_GB2312" w:cs="仿宋_GB2312"/>
          <w:sz w:val="28"/>
          <w:szCs w:val="28"/>
        </w:rPr>
        <w:t>标签和纸质装箱台账清单</w:t>
      </w:r>
    </w:p>
    <w:p w14:paraId="02A5270C">
      <w:pPr>
        <w:spacing w:line="240" w:lineRule="auto"/>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2.</w:t>
      </w:r>
      <w:r>
        <w:rPr>
          <w:rFonts w:hint="eastAsia" w:ascii="仿宋_GB2312" w:hAnsi="Times New Roman" w:eastAsia="仿宋_GB2312" w:cs="仿宋_GB2312"/>
          <w:sz w:val="28"/>
          <w:szCs w:val="28"/>
        </w:rPr>
        <w:t>纸箱内试剂空瓶没有按照要求分类封装和固定</w:t>
      </w:r>
    </w:p>
    <w:p w14:paraId="41A148B4">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3.</w:t>
      </w:r>
      <w:r>
        <w:rPr>
          <w:rFonts w:hint="eastAsia" w:ascii="仿宋_GB2312" w:hAnsi="Times New Roman" w:eastAsia="仿宋_GB2312" w:cs="仿宋_GB2312"/>
          <w:sz w:val="28"/>
          <w:szCs w:val="28"/>
        </w:rPr>
        <w:t>纸箱底部没有用胶带纸进行加固</w:t>
      </w:r>
    </w:p>
    <w:p w14:paraId="37AE9661">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lang w:eastAsia="zh-CN"/>
        </w:rPr>
        <w:t>4.</w:t>
      </w:r>
      <w:r>
        <w:rPr>
          <w:rFonts w:hint="eastAsia" w:ascii="仿宋_GB2312" w:hAnsi="Times New Roman" w:eastAsia="仿宋_GB2312" w:cs="仿宋_GB2312"/>
          <w:sz w:val="28"/>
          <w:szCs w:val="28"/>
        </w:rPr>
        <w:t>纸箱不结实或已破损</w:t>
      </w:r>
    </w:p>
    <w:p w14:paraId="1555E68D">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lang w:eastAsia="zh-CN"/>
        </w:rPr>
        <w:t>5.</w:t>
      </w:r>
      <w:r>
        <w:rPr>
          <w:rFonts w:hint="eastAsia" w:ascii="仿宋_GB2312" w:hAnsi="Times New Roman" w:eastAsia="仿宋_GB2312" w:cs="仿宋_GB2312"/>
          <w:sz w:val="28"/>
          <w:szCs w:val="28"/>
        </w:rPr>
        <w:t>空瓶内有液体试剂</w:t>
      </w:r>
    </w:p>
    <w:p w14:paraId="503C38E1">
      <w:pPr>
        <w:spacing w:line="480" w:lineRule="exact"/>
        <w:ind w:firstLine="560" w:firstLineChars="200"/>
        <w:rPr>
          <w:rFonts w:ascii="黑体" w:hAnsi="Times New Roman" w:eastAsia="黑体" w:cs="黑体"/>
          <w:sz w:val="28"/>
          <w:szCs w:val="28"/>
        </w:rPr>
      </w:pPr>
      <w:r>
        <w:rPr>
          <w:rFonts w:hint="eastAsia" w:ascii="黑体" w:hAnsi="Times New Roman" w:eastAsia="黑体" w:cs="黑体"/>
          <w:sz w:val="28"/>
          <w:szCs w:val="28"/>
        </w:rPr>
        <w:t>第五条 危废</w:t>
      </w:r>
      <w:r>
        <w:rPr>
          <w:rFonts w:hint="eastAsia" w:ascii="黑体" w:hAnsi="Times New Roman" w:eastAsia="黑体" w:cs="黑体"/>
          <w:sz w:val="28"/>
          <w:szCs w:val="28"/>
          <w:lang w:val="en-US" w:eastAsia="zh-CN"/>
        </w:rPr>
        <w:t>标签及</w:t>
      </w:r>
      <w:r>
        <w:rPr>
          <w:rFonts w:hint="eastAsia" w:ascii="黑体" w:hAnsi="Times New Roman" w:eastAsia="黑体" w:cs="黑体"/>
          <w:sz w:val="28"/>
          <w:szCs w:val="28"/>
        </w:rPr>
        <w:t>包装材质</w:t>
      </w:r>
      <w:r>
        <w:rPr>
          <w:rFonts w:hint="eastAsia" w:ascii="黑体" w:hAnsi="Times New Roman" w:eastAsia="黑体" w:cs="黑体"/>
          <w:sz w:val="28"/>
          <w:szCs w:val="28"/>
          <w:lang w:eastAsia="zh-CN"/>
        </w:rPr>
        <w:t>、</w:t>
      </w:r>
      <w:r>
        <w:rPr>
          <w:rFonts w:hint="eastAsia" w:ascii="黑体" w:hAnsi="Times New Roman" w:eastAsia="黑体" w:cs="黑体"/>
          <w:sz w:val="28"/>
          <w:szCs w:val="28"/>
          <w:lang w:val="en-US" w:eastAsia="zh-CN"/>
        </w:rPr>
        <w:t>打包</w:t>
      </w:r>
      <w:r>
        <w:rPr>
          <w:rFonts w:hint="eastAsia" w:ascii="黑体" w:hAnsi="Times New Roman" w:eastAsia="黑体" w:cs="黑体"/>
          <w:sz w:val="28"/>
          <w:szCs w:val="28"/>
        </w:rPr>
        <w:t>要求</w:t>
      </w:r>
    </w:p>
    <w:p w14:paraId="371F2B13">
      <w:pPr>
        <w:tabs>
          <w:tab w:val="left" w:pos="7170"/>
        </w:tabs>
        <w:spacing w:line="480" w:lineRule="exact"/>
        <w:ind w:firstLine="562" w:firstLineChars="200"/>
        <w:rPr>
          <w:rFonts w:hint="eastAsia" w:ascii="楷体_GB2312" w:hAnsi="Times New Roman" w:eastAsia="楷体_GB2312" w:cs="楷体_GB2312"/>
          <w:b/>
          <w:bCs/>
          <w:sz w:val="28"/>
          <w:szCs w:val="28"/>
          <w:lang w:val="en-US" w:eastAsia="zh-CN"/>
        </w:rPr>
      </w:pPr>
      <w:r>
        <w:rPr>
          <w:rFonts w:hint="eastAsia" w:ascii="楷体_GB2312" w:hAnsi="Times New Roman" w:eastAsia="楷体_GB2312" w:cs="楷体_GB2312"/>
          <w:b/>
          <w:bCs/>
          <w:sz w:val="28"/>
          <w:szCs w:val="28"/>
        </w:rPr>
        <w:t>（一）</w:t>
      </w:r>
      <w:r>
        <w:rPr>
          <w:rFonts w:hint="eastAsia" w:ascii="楷体_GB2312" w:hAnsi="Times New Roman" w:eastAsia="楷体_GB2312" w:cs="楷体_GB2312"/>
          <w:b/>
          <w:bCs/>
          <w:sz w:val="28"/>
          <w:szCs w:val="28"/>
          <w:lang w:val="en-US" w:eastAsia="zh-CN"/>
        </w:rPr>
        <w:t>实验室安全管理部门按照</w:t>
      </w:r>
      <w:r>
        <w:rPr>
          <w:rFonts w:hint="eastAsia" w:ascii="楷体_GB2312" w:hAnsi="Times New Roman" w:eastAsia="楷体_GB2312" w:cs="楷体_GB2312"/>
          <w:b/>
          <w:bCs/>
          <w:sz w:val="28"/>
          <w:szCs w:val="28"/>
        </w:rPr>
        <w:t>国家</w:t>
      </w:r>
      <w:r>
        <w:rPr>
          <w:rFonts w:hint="eastAsia" w:ascii="楷体_GB2312" w:hAnsi="Times New Roman" w:eastAsia="楷体_GB2312" w:cs="楷体_GB2312"/>
          <w:b/>
          <w:bCs/>
          <w:sz w:val="28"/>
          <w:szCs w:val="28"/>
          <w:lang w:val="en-US" w:eastAsia="zh-CN"/>
        </w:rPr>
        <w:t>标准</w:t>
      </w:r>
      <w:r>
        <w:rPr>
          <w:rFonts w:hint="eastAsia" w:ascii="楷体_GB2312" w:hAnsi="Times New Roman" w:eastAsia="楷体_GB2312" w:cs="楷体_GB2312"/>
          <w:b/>
          <w:bCs/>
          <w:sz w:val="28"/>
          <w:szCs w:val="28"/>
        </w:rPr>
        <w:t>统一</w:t>
      </w:r>
      <w:r>
        <w:rPr>
          <w:rFonts w:hint="eastAsia" w:ascii="楷体_GB2312" w:hAnsi="Times New Roman" w:eastAsia="楷体_GB2312" w:cs="楷体_GB2312"/>
          <w:b/>
          <w:bCs/>
          <w:sz w:val="28"/>
          <w:szCs w:val="28"/>
          <w:lang w:val="en-US" w:eastAsia="zh-CN"/>
        </w:rPr>
        <w:t>制作标签</w:t>
      </w:r>
    </w:p>
    <w:p w14:paraId="3B0B269F">
      <w:pPr>
        <w:tabs>
          <w:tab w:val="left" w:pos="7170"/>
        </w:tabs>
        <w:spacing w:line="240" w:lineRule="auto"/>
        <w:jc w:val="center"/>
        <w:rPr>
          <w:rFonts w:hint="eastAsia" w:ascii="楷体_GB2312" w:hAnsi="Times New Roman" w:eastAsia="楷体_GB2312" w:cs="楷体_GB2312"/>
          <w:b/>
          <w:bCs/>
          <w:sz w:val="28"/>
          <w:szCs w:val="28"/>
          <w:lang w:eastAsia="zh-CN"/>
        </w:rPr>
      </w:pPr>
      <w:r>
        <w:rPr>
          <w:rFonts w:hint="eastAsia" w:ascii="楷体_GB2312" w:hAnsi="Times New Roman" w:eastAsia="楷体_GB2312" w:cs="楷体_GB2312"/>
          <w:b/>
          <w:bCs/>
          <w:sz w:val="28"/>
          <w:szCs w:val="28"/>
          <w:lang w:eastAsia="zh-CN"/>
        </w:rPr>
        <w:drawing>
          <wp:inline distT="0" distB="0" distL="114300" distR="114300">
            <wp:extent cx="3273425" cy="3273425"/>
            <wp:effectExtent l="0" t="0" r="3175" b="3175"/>
            <wp:docPr id="1" name="图片 1" descr="2c62a1762f88a8b4ecce0efac14d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c62a1762f88a8b4ecce0efac14d18a"/>
                    <pic:cNvPicPr>
                      <a:picLocks noChangeAspect="1"/>
                    </pic:cNvPicPr>
                  </pic:nvPicPr>
                  <pic:blipFill>
                    <a:blip r:embed="rId4"/>
                    <a:stretch>
                      <a:fillRect/>
                    </a:stretch>
                  </pic:blipFill>
                  <pic:spPr>
                    <a:xfrm>
                      <a:off x="0" y="0"/>
                      <a:ext cx="3273425" cy="3273425"/>
                    </a:xfrm>
                    <a:prstGeom prst="rect">
                      <a:avLst/>
                    </a:prstGeom>
                    <a:noFill/>
                    <a:ln>
                      <a:noFill/>
                    </a:ln>
                  </pic:spPr>
                </pic:pic>
              </a:graphicData>
            </a:graphic>
          </wp:inline>
        </w:drawing>
      </w:r>
    </w:p>
    <w:p w14:paraId="516536A3">
      <w:pPr>
        <w:tabs>
          <w:tab w:val="left" w:pos="7170"/>
        </w:tabs>
        <w:spacing w:line="480" w:lineRule="exact"/>
        <w:ind w:firstLine="2160" w:firstLineChars="900"/>
        <w:rPr>
          <w:rFonts w:ascii="黑体" w:hAnsi="黑体" w:eastAsia="黑体" w:cs="黑体"/>
          <w:sz w:val="24"/>
          <w:szCs w:val="24"/>
        </w:rPr>
      </w:pPr>
      <w:r>
        <w:rPr>
          <w:rFonts w:hint="eastAsia" w:ascii="黑体" w:hAnsi="黑体" w:eastAsia="黑体" w:cs="黑体"/>
          <w:sz w:val="24"/>
          <w:szCs w:val="24"/>
        </w:rPr>
        <w:t>上图：标签及警示标志</w:t>
      </w:r>
      <w:r>
        <w:rPr>
          <w:rFonts w:hint="eastAsia" w:ascii="黑体" w:hAnsi="黑体" w:eastAsia="黑体" w:cs="黑体"/>
          <w:sz w:val="24"/>
          <w:szCs w:val="24"/>
          <w:lang w:val="en-US" w:eastAsia="zh-CN"/>
        </w:rPr>
        <w:t>示意图</w:t>
      </w:r>
      <w:r>
        <w:rPr>
          <w:rFonts w:hint="eastAsia" w:ascii="黑体" w:hAnsi="黑体" w:eastAsia="黑体" w:cs="黑体"/>
          <w:sz w:val="24"/>
          <w:szCs w:val="24"/>
        </w:rPr>
        <w:t>（见附件四）</w:t>
      </w:r>
    </w:p>
    <w:p w14:paraId="494154C8">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rPr>
        <w:t>根据《</w:t>
      </w:r>
      <w:r>
        <w:rPr>
          <w:rFonts w:hint="eastAsia" w:ascii="仿宋_GB2312" w:hAnsi="Times New Roman" w:eastAsia="仿宋_GB2312" w:cs="仿宋_GB2312"/>
          <w:sz w:val="28"/>
          <w:szCs w:val="28"/>
          <w:lang w:eastAsia="zh-CN"/>
        </w:rPr>
        <w:t>中华人民共和国固体废物污染环境防治法</w:t>
      </w:r>
      <w:r>
        <w:rPr>
          <w:rFonts w:hint="eastAsia" w:ascii="仿宋_GB2312" w:hAnsi="Times New Roman" w:eastAsia="仿宋_GB2312" w:cs="仿宋_GB2312"/>
          <w:sz w:val="28"/>
          <w:szCs w:val="28"/>
        </w:rPr>
        <w:t>》等有关规定要求，需按本标准对危废粘贴标签。</w:t>
      </w:r>
      <w:r>
        <w:rPr>
          <w:rFonts w:hint="eastAsia" w:ascii="仿宋_GB2312" w:hAnsi="Times New Roman" w:eastAsia="仿宋_GB2312" w:cs="仿宋_GB2312"/>
          <w:b/>
          <w:bCs/>
          <w:sz w:val="28"/>
          <w:szCs w:val="28"/>
        </w:rPr>
        <w:t>一是</w:t>
      </w:r>
      <w:r>
        <w:rPr>
          <w:rFonts w:hint="eastAsia" w:ascii="仿宋_GB2312" w:hAnsi="Times New Roman" w:eastAsia="仿宋_GB2312" w:cs="仿宋_GB2312"/>
          <w:sz w:val="28"/>
          <w:szCs w:val="28"/>
        </w:rPr>
        <w:t>标签黄底黑字</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lang w:val="en-US" w:eastAsia="zh-CN"/>
        </w:rPr>
        <w:t>有二维码，</w:t>
      </w:r>
      <w:r>
        <w:rPr>
          <w:rFonts w:hint="eastAsia" w:ascii="仿宋_GB2312" w:hAnsi="Times New Roman" w:eastAsia="仿宋_GB2312" w:cs="仿宋_GB2312"/>
          <w:b/>
          <w:bCs/>
          <w:sz w:val="28"/>
          <w:szCs w:val="28"/>
        </w:rPr>
        <w:t>二是</w:t>
      </w:r>
      <w:r>
        <w:rPr>
          <w:rFonts w:hint="eastAsia" w:ascii="仿宋_GB2312" w:hAnsi="Times New Roman" w:eastAsia="仿宋_GB2312" w:cs="仿宋_GB2312"/>
          <w:sz w:val="28"/>
          <w:szCs w:val="28"/>
        </w:rPr>
        <w:t>标识上须提供下列文字说明：应有“危险废物”字样和单位名称、地址、联系人及联系电话，化学废物的化学品学名、危险类别。</w:t>
      </w:r>
      <w:r>
        <w:rPr>
          <w:rFonts w:hint="eastAsia" w:ascii="仿宋_GB2312" w:hAnsi="Times New Roman" w:eastAsia="仿宋_GB2312" w:cs="仿宋_GB2312"/>
          <w:b/>
          <w:bCs/>
          <w:sz w:val="28"/>
          <w:szCs w:val="28"/>
        </w:rPr>
        <w:t>三是</w:t>
      </w:r>
      <w:r>
        <w:rPr>
          <w:rFonts w:hint="eastAsia" w:ascii="仿宋_GB2312" w:hAnsi="Times New Roman" w:eastAsia="仿宋_GB2312" w:cs="仿宋_GB2312"/>
          <w:sz w:val="28"/>
          <w:szCs w:val="28"/>
        </w:rPr>
        <w:t>危废标签应分贴在容器的两旁而非盖顶，且不被容器任</w:t>
      </w:r>
      <w:r>
        <w:rPr>
          <w:rFonts w:hint="eastAsia" w:ascii="仿宋_GB2312" w:hAnsi="Times New Roman" w:eastAsia="仿宋_GB2312" w:cs="仿宋_GB2312"/>
          <w:color w:val="000000"/>
          <w:sz w:val="28"/>
          <w:szCs w:val="28"/>
        </w:rPr>
        <w:t>何部分或容器的配件阻挡及遮盖。</w:t>
      </w:r>
      <w:r>
        <w:rPr>
          <w:rFonts w:hint="eastAsia" w:ascii="仿宋_GB2312" w:hAnsi="Times New Roman" w:eastAsia="仿宋_GB2312" w:cs="仿宋_GB2312"/>
          <w:b/>
          <w:bCs/>
          <w:color w:val="000000"/>
          <w:sz w:val="28"/>
          <w:szCs w:val="28"/>
        </w:rPr>
        <w:t>四是</w:t>
      </w:r>
      <w:r>
        <w:rPr>
          <w:rFonts w:hint="eastAsia" w:ascii="仿宋_GB2312" w:hAnsi="Times New Roman" w:eastAsia="仿宋_GB2312" w:cs="仿宋_GB2312"/>
          <w:color w:val="000000"/>
          <w:sz w:val="28"/>
          <w:szCs w:val="28"/>
        </w:rPr>
        <w:t>确保包装上的旧标识被除去，以免干扰。</w:t>
      </w:r>
      <w:r>
        <w:rPr>
          <w:rFonts w:hint="eastAsia" w:ascii="仿宋_GB2312" w:hAnsi="Times New Roman" w:eastAsia="仿宋_GB2312" w:cs="仿宋_GB2312"/>
          <w:b/>
          <w:bCs/>
          <w:color w:val="000000"/>
          <w:sz w:val="28"/>
          <w:szCs w:val="28"/>
        </w:rPr>
        <w:t>五是</w:t>
      </w:r>
      <w:r>
        <w:rPr>
          <w:rFonts w:hint="eastAsia" w:ascii="仿宋_GB2312" w:hAnsi="Times New Roman" w:eastAsia="仿宋_GB2312" w:cs="仿宋_GB2312"/>
          <w:color w:val="000000"/>
          <w:sz w:val="28"/>
          <w:szCs w:val="28"/>
        </w:rPr>
        <w:t>危险类别标识符号（见下表），大部分危险废物只需选用其中一个首要的类别符号。</w:t>
      </w:r>
    </w:p>
    <w:p w14:paraId="05B7BDC2">
      <w:pPr>
        <w:snapToGrid w:val="0"/>
        <w:spacing w:line="240" w:lineRule="auto"/>
        <w:ind w:firstLine="220"/>
        <w:rPr>
          <w:rFonts w:ascii="仿宋_GB2312" w:hAnsi="Times New Roman" w:eastAsia="仿宋_GB2312" w:cs="仿宋_GB2312"/>
          <w:sz w:val="28"/>
          <w:szCs w:val="28"/>
        </w:rPr>
      </w:pPr>
      <w:r>
        <w:rPr>
          <w:rFonts w:hint="eastAsia" w:ascii="宋体" w:hAnsi="宋体"/>
          <w:sz w:val="24"/>
          <w:szCs w:val="24"/>
        </w:rPr>
        <w:t xml:space="preserve"> </w:t>
      </w:r>
      <w:r>
        <w:drawing>
          <wp:inline distT="0" distB="0" distL="114300" distR="114300">
            <wp:extent cx="5268595" cy="4137660"/>
            <wp:effectExtent l="0" t="0" r="8255"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68595" cy="4137660"/>
                    </a:xfrm>
                    <a:prstGeom prst="rect">
                      <a:avLst/>
                    </a:prstGeom>
                    <a:noFill/>
                    <a:ln>
                      <a:noFill/>
                    </a:ln>
                  </pic:spPr>
                </pic:pic>
              </a:graphicData>
            </a:graphic>
          </wp:inline>
        </w:drawing>
      </w:r>
    </w:p>
    <w:p w14:paraId="6011DBA6">
      <w:pPr>
        <w:spacing w:line="480" w:lineRule="exact"/>
        <w:ind w:firstLine="562" w:firstLineChars="200"/>
        <w:rPr>
          <w:rFonts w:ascii="楷体_GB2312" w:hAnsi="Times New Roman" w:eastAsia="楷体_GB2312" w:cs="楷体_GB2312"/>
          <w:b/>
          <w:bCs/>
          <w:sz w:val="28"/>
          <w:szCs w:val="28"/>
        </w:rPr>
      </w:pPr>
      <w:r>
        <w:rPr>
          <w:rFonts w:hint="eastAsia" w:ascii="楷体_GB2312" w:hAnsi="Times New Roman" w:eastAsia="楷体_GB2312" w:cs="楷体_GB2312"/>
          <w:b/>
          <w:bCs/>
          <w:sz w:val="28"/>
          <w:szCs w:val="28"/>
        </w:rPr>
        <w:t>（二）包装材质与危险废物相容性要求</w:t>
      </w:r>
    </w:p>
    <w:p w14:paraId="655E3399">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规范的打包操作能有效避免在运输和后续处理过程中发生泄漏、破碎、污染等安全事故。</w:t>
      </w:r>
      <w:r>
        <w:rPr>
          <w:rFonts w:hint="eastAsia" w:ascii="仿宋_GB2312" w:hAnsi="Times New Roman" w:eastAsia="仿宋_GB2312" w:cs="仿宋_GB2312"/>
          <w:sz w:val="28"/>
          <w:szCs w:val="28"/>
          <w:lang w:val="en-US" w:eastAsia="zh-CN"/>
        </w:rPr>
        <w:t>要坚决避免实验室废弃物</w:t>
      </w:r>
      <w:r>
        <w:rPr>
          <w:rFonts w:hint="eastAsia" w:ascii="仿宋_GB2312" w:hAnsi="Times New Roman" w:eastAsia="仿宋_GB2312" w:cs="仿宋_GB2312"/>
          <w:sz w:val="28"/>
          <w:szCs w:val="28"/>
        </w:rPr>
        <w:t>玻璃试剂瓶摆放不当、废液桶盖不全、玻璃器皿无防护等问题</w:t>
      </w:r>
      <w:r>
        <w:rPr>
          <w:rFonts w:hint="eastAsia" w:ascii="仿宋_GB2312" w:hAnsi="Times New Roman" w:eastAsia="仿宋_GB2312" w:cs="仿宋_GB2312"/>
          <w:sz w:val="28"/>
          <w:szCs w:val="28"/>
          <w:lang w:eastAsia="zh-CN"/>
        </w:rPr>
        <w:t>。</w:t>
      </w:r>
      <w:r>
        <w:rPr>
          <w:rFonts w:hint="eastAsia" w:ascii="仿宋_GB2312" w:hAnsi="Times New Roman" w:eastAsia="仿宋_GB2312" w:cs="仿宋_GB2312"/>
          <w:sz w:val="28"/>
          <w:szCs w:val="28"/>
          <w:lang w:val="en-US" w:eastAsia="zh-CN"/>
        </w:rPr>
        <w:t>包装材质选择至关重要，</w:t>
      </w:r>
      <w:r>
        <w:rPr>
          <w:rFonts w:hint="eastAsia" w:ascii="仿宋_GB2312" w:hAnsi="Times New Roman" w:eastAsia="仿宋_GB2312" w:cs="仿宋_GB2312"/>
          <w:sz w:val="28"/>
          <w:szCs w:val="28"/>
        </w:rPr>
        <w:t>包装材质与危险废物应相容，具体见下表。包装物必须坚固不易碎，防渗性能良好，并且不会因温度，温度的变化而显著软化、脆化或增加其渗透性。</w:t>
      </w:r>
    </w:p>
    <w:p w14:paraId="51324F4D">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1.</w:t>
      </w:r>
      <w:r>
        <w:rPr>
          <w:rFonts w:hint="eastAsia" w:ascii="仿宋_GB2312" w:hAnsi="Times New Roman" w:eastAsia="仿宋_GB2312" w:cs="仿宋_GB2312"/>
          <w:sz w:val="28"/>
          <w:szCs w:val="28"/>
        </w:rPr>
        <w:t xml:space="preserve">包装材料选择​ </w:t>
      </w:r>
    </w:p>
    <w:p w14:paraId="069F39EF">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（1）</w:t>
      </w:r>
      <w:r>
        <w:rPr>
          <w:rFonts w:hint="eastAsia" w:ascii="仿宋_GB2312" w:hAnsi="Times New Roman" w:eastAsia="仿宋_GB2312" w:cs="仿宋_GB2312"/>
          <w:sz w:val="28"/>
          <w:szCs w:val="28"/>
        </w:rPr>
        <w:t xml:space="preserve">外层包装：优先选用高强度、耐磨损、抗冲击的纸箱，且箱体无破损、无漏洞、无受潮现象。严禁使用强度不足、有破损的纸箱，防止在搬运过程中箱体破裂导致内部物品掉落。​ </w:t>
      </w:r>
    </w:p>
    <w:p w14:paraId="6A38F969">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（2）</w:t>
      </w:r>
      <w:r>
        <w:rPr>
          <w:rFonts w:hint="eastAsia" w:ascii="仿宋_GB2312" w:hAnsi="Times New Roman" w:eastAsia="仿宋_GB2312" w:cs="仿宋_GB2312"/>
          <w:sz w:val="28"/>
          <w:szCs w:val="28"/>
        </w:rPr>
        <w:t>缓冲材料：准备充足的缓冲材料，如气泡膜、泡沫板、碎纸、报纸、布艺等。缓冲材料需干净、干燥、无腐蚀性，能有效吸收冲击力。避免玻璃制品相互碰撞或受到外部挤压而破碎。​</w:t>
      </w:r>
    </w:p>
    <w:p w14:paraId="680C1F90">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（3）</w:t>
      </w:r>
      <w:r>
        <w:rPr>
          <w:rFonts w:hint="eastAsia" w:ascii="仿宋_GB2312" w:hAnsi="Times New Roman" w:eastAsia="仿宋_GB2312" w:cs="仿宋_GB2312"/>
          <w:sz w:val="28"/>
          <w:szCs w:val="28"/>
        </w:rPr>
        <w:t>密封材料：对于装有液体或粉剂的试剂瓶，需使用保鲜膜或密封胶带将瓶口进行缠绕，确保容器封口严密，防止泄漏。同时，准备打包膜或塑料密封袋，用于单独包装部分小件物品或可能泄漏的物品。​</w:t>
      </w:r>
    </w:p>
    <w:p w14:paraId="0490D079">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2.</w:t>
      </w:r>
      <w:r>
        <w:rPr>
          <w:rFonts w:hint="eastAsia" w:ascii="仿宋_GB2312" w:hAnsi="Times New Roman" w:eastAsia="仿宋_GB2312" w:cs="仿宋_GB2312"/>
          <w:sz w:val="28"/>
          <w:szCs w:val="28"/>
        </w:rPr>
        <w:t xml:space="preserve">分类打包具体要求​ </w:t>
      </w:r>
    </w:p>
    <w:p w14:paraId="4FBDE35F">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（1）</w:t>
      </w:r>
      <w:r>
        <w:rPr>
          <w:rFonts w:hint="eastAsia" w:ascii="仿宋_GB2312" w:hAnsi="Times New Roman" w:eastAsia="仿宋_GB2312" w:cs="仿宋_GB2312"/>
          <w:sz w:val="28"/>
          <w:szCs w:val="28"/>
        </w:rPr>
        <w:t xml:space="preserve">空试剂瓶打包​ </w:t>
      </w:r>
    </w:p>
    <w:p w14:paraId="31530F37">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 xml:space="preserve">清理与检查：打包前，需确认试剂瓶内危险化学品已完全清空，瓶内无残留液体或粉剂。 </w:t>
      </w:r>
    </w:p>
    <w:p w14:paraId="5EE009ED">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箱体摆放：如果是玻璃制品，需选择高度与玻璃试剂瓶高度相匹配的纸箱，严禁使用高于试剂瓶过多的纸箱。摆放时，将试剂瓶直立整齐排列，瓶与瓶之间用缓冲材料填充密实，避免留有空隙导致运输过程中相互晃动，导致破碎。在纸箱上层覆盖一层缓冲材料后，再封箱，封箱时用密封胶带将纸箱缝隙密封牢固，确保箱体严实，并在箱外标明警示标语“禁止倒置”或方向指示</w:t>
      </w:r>
      <w:r>
        <w:rPr>
          <w:rFonts w:hint="eastAsia" w:ascii="仿宋_GB2312" w:hAnsi="Times New Roman" w:eastAsia="仿宋_GB2312" w:cs="仿宋_GB2312"/>
          <w:sz w:val="28"/>
          <w:szCs w:val="28"/>
          <w:lang w:eastAsia="zh-CN"/>
        </w:rPr>
        <w:t>。</w:t>
      </w:r>
    </w:p>
    <w:p w14:paraId="1EB3591F">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2</w:t>
      </w:r>
      <w:r>
        <w:rPr>
          <w:rFonts w:hint="eastAsia" w:ascii="仿宋_GB2312" w:hAnsi="Times New Roman" w:eastAsia="仿宋_GB2312" w:cs="仿宋_GB2312"/>
          <w:sz w:val="28"/>
          <w:szCs w:val="28"/>
        </w:rPr>
        <w:t>）过期试剂打包</w:t>
      </w:r>
    </w:p>
    <w:p w14:paraId="4E2164C2">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泄漏检查与预处理：检查试剂瓶是否有裂纹、瓶盖是否松动或老化。若存在泄漏，请进行预处理后打包（可选择打包膜缠绕包裹）。</w:t>
      </w:r>
    </w:p>
    <w:p w14:paraId="4DE89251">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箱体摆放与隔离：不同种类且不会产生反应的试剂可同箱打包，但需用厚纸 并标注 “过期试剂，防泄漏、防倒置”。</w:t>
      </w:r>
    </w:p>
    <w:p w14:paraId="67BB7620">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3</w:t>
      </w:r>
      <w:r>
        <w:rPr>
          <w:rFonts w:hint="eastAsia" w:ascii="仿宋_GB2312" w:hAnsi="Times New Roman" w:eastAsia="仿宋_GB2312" w:cs="仿宋_GB2312"/>
          <w:sz w:val="28"/>
          <w:szCs w:val="28"/>
        </w:rPr>
        <w:t xml:space="preserve">）废液桶打包​ </w:t>
      </w:r>
    </w:p>
    <w:p w14:paraId="71EEF455">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桶盖检查与密封：打包前，仔细检查废液桶的内盖和外盖是否齐全、完好。若内盖或外盖缺失、损坏，应及时更换新的配套桶盖，严禁使用盖不全的废液桶。盖桶盖时，先将内盖拧紧，确保无废液泄漏，再将外盖扣紧并通过卡扣或螺栓固定牢固，双重保障废液桶的密封性。</w:t>
      </w:r>
    </w:p>
    <w:p w14:paraId="5A1EB87B">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4</w:t>
      </w:r>
      <w:r>
        <w:rPr>
          <w:rFonts w:hint="eastAsia" w:ascii="仿宋_GB2312" w:hAnsi="Times New Roman" w:eastAsia="仿宋_GB2312" w:cs="仿宋_GB2312"/>
          <w:sz w:val="28"/>
          <w:szCs w:val="28"/>
        </w:rPr>
        <w:t xml:space="preserve">）玻璃器皿打包​ </w:t>
      </w:r>
    </w:p>
    <w:p w14:paraId="2C9F402D">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 xml:space="preserve">清洗与干燥：报废的玻璃器皿（如烧杯、烧瓶、试管等）需先进行彻底清洗，去除内部残留的化学品，然后晾干或烘干，确保玻璃器皿干燥无水分，防止残留化学品腐蚀包装材料或在运输过程中发生化学反应。​ </w:t>
      </w:r>
    </w:p>
    <w:p w14:paraId="71C81C6A">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 xml:space="preserve">箱体填充：选择合适尺寸的纸箱，在纸箱内部铺设一层缓冲材料，例如：吸附棉、泡沫等，将玻璃器皿放入纸箱内，按照 “下重上轻、大在下小在上” 的原则摆放。玻璃器皿之间、玻璃器皿与纸箱内壁之间用缓冲材料填充密实，确保无松动。在纸箱顶部覆盖一层缓冲材料后封箱，封箱时确保胶带粘贴牢固，并在箱体外部注明“玻璃器皿，轻拿轻放”。​ </w:t>
      </w:r>
    </w:p>
    <w:p w14:paraId="2A49DAEF">
      <w:pPr>
        <w:spacing w:line="480" w:lineRule="exact"/>
        <w:ind w:firstLine="562" w:firstLineChars="200"/>
        <w:rPr>
          <w:rFonts w:hint="eastAsia" w:ascii="仿宋_GB2312" w:hAnsi="Times New Roman" w:eastAsia="仿宋_GB2312" w:cs="仿宋_GB2312"/>
          <w:sz w:val="28"/>
          <w:szCs w:val="28"/>
        </w:rPr>
      </w:pPr>
      <w:r>
        <w:rPr>
          <w:rFonts w:hint="eastAsia" w:ascii="楷体_GB2312" w:hAnsi="Times New Roman" w:eastAsia="楷体_GB2312" w:cs="楷体_GB2312"/>
          <w:b/>
          <w:bCs/>
          <w:sz w:val="28"/>
          <w:szCs w:val="28"/>
        </w:rPr>
        <w:t>（三）部分不相容的危险废物</w:t>
      </w:r>
      <w:r>
        <w:rPr>
          <w:rFonts w:hint="eastAsia" w:ascii="楷体_GB2312" w:hAnsi="Times New Roman" w:eastAsia="楷体_GB2312" w:cs="楷体_GB2312"/>
          <w:b/>
          <w:bCs/>
          <w:sz w:val="28"/>
          <w:szCs w:val="28"/>
          <w:lang w:eastAsia="zh-CN"/>
        </w:rPr>
        <w:t>（</w:t>
      </w:r>
      <w:r>
        <w:rPr>
          <w:rFonts w:hint="eastAsia" w:ascii="楷体_GB2312" w:hAnsi="Times New Roman" w:eastAsia="楷体_GB2312" w:cs="楷体_GB2312"/>
          <w:b/>
          <w:bCs/>
          <w:sz w:val="28"/>
          <w:szCs w:val="28"/>
          <w:lang w:val="en-US" w:eastAsia="zh-CN"/>
        </w:rPr>
        <w:t>见表二</w:t>
      </w:r>
      <w:r>
        <w:rPr>
          <w:rFonts w:hint="eastAsia" w:ascii="楷体_GB2312" w:hAnsi="Times New Roman" w:eastAsia="楷体_GB2312" w:cs="楷体_GB2312"/>
          <w:b/>
          <w:bCs/>
          <w:sz w:val="28"/>
          <w:szCs w:val="28"/>
          <w:lang w:eastAsia="zh-CN"/>
        </w:rPr>
        <w:t>）</w:t>
      </w:r>
    </w:p>
    <w:p w14:paraId="0D8CF8F8">
      <w:pPr>
        <w:numPr>
          <w:ilvl w:val="0"/>
          <w:numId w:val="2"/>
        </w:numPr>
        <w:spacing w:line="480" w:lineRule="exact"/>
        <w:ind w:firstLine="560" w:firstLineChars="200"/>
        <w:rPr>
          <w:rFonts w:hint="eastAsia" w:ascii="黑体" w:hAnsi="Times New Roman" w:eastAsia="黑体" w:cs="黑体"/>
          <w:sz w:val="28"/>
          <w:szCs w:val="28"/>
          <w:lang w:val="en-US" w:eastAsia="zh-CN"/>
        </w:rPr>
      </w:pPr>
      <w:r>
        <w:rPr>
          <w:rFonts w:hint="eastAsia" w:ascii="黑体" w:hAnsi="Times New Roman" w:eastAsia="黑体" w:cs="黑体"/>
          <w:sz w:val="28"/>
          <w:szCs w:val="28"/>
          <w:lang w:val="en-US" w:eastAsia="zh-CN"/>
        </w:rPr>
        <w:t>实验室内贮存点（实验室危险废物暂存区）要求</w:t>
      </w:r>
    </w:p>
    <w:p w14:paraId="76BE900D">
      <w:pPr>
        <w:numPr>
          <w:ilvl w:val="0"/>
          <w:numId w:val="3"/>
        </w:numPr>
        <w:spacing w:line="480" w:lineRule="exact"/>
        <w:ind w:firstLine="560" w:firstLineChars="200"/>
        <w:rPr>
          <w:rFonts w:hint="eastAsia"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val="en-US" w:eastAsia="zh-CN"/>
        </w:rPr>
        <w:t>实验室内贮存点需在地面上涂覆或张贴黄色警戒线，明确贮存点的区域范围，并张贴危险废物标识及校级编码，悬挂出入库台账，如实记录产生实验室危险废物的种类、数量、流向、贮存和处置等情况，并采取防风、防雨、防晒以及防止危险废物流失、扬散等措施。</w:t>
      </w:r>
    </w:p>
    <w:p w14:paraId="651DA82B">
      <w:pPr>
        <w:numPr>
          <w:ilvl w:val="0"/>
          <w:numId w:val="3"/>
        </w:numPr>
        <w:spacing w:line="480" w:lineRule="exact"/>
        <w:ind w:firstLine="560" w:firstLineChars="200"/>
        <w:rPr>
          <w:rFonts w:hint="default"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val="en-US" w:eastAsia="zh-CN"/>
        </w:rPr>
        <w:t>贮存点贮存的危险废物应置于容器或包装物内，不可直接散堆。存放液态危险废物时，需采取防渗漏措施，将容器置于托盘中。存放两种及以上不相容液态危险废物时，应分类分区存放，且不得共用泄漏液体收集装置。</w:t>
      </w:r>
    </w:p>
    <w:p w14:paraId="5C9601F2">
      <w:pPr>
        <w:numPr>
          <w:ilvl w:val="0"/>
          <w:numId w:val="3"/>
        </w:num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lang w:val="en-US" w:eastAsia="zh-CN"/>
        </w:rPr>
        <w:t>危险废物在单个实验室内贮存点（实验室危险废物暂存区）最大贮存量不得超过0.1吨（建议废液桶满桶存放不超过4桶），应及时根据学校转运处置通知和频次要求清空实验室内贮存点（实验室危险废物暂存区）贮存的危险废物。</w:t>
      </w:r>
    </w:p>
    <w:p w14:paraId="5831C960">
      <w:pPr>
        <w:numPr>
          <w:ilvl w:val="0"/>
          <w:numId w:val="3"/>
        </w:numPr>
        <w:spacing w:line="480" w:lineRule="exact"/>
        <w:ind w:firstLine="560" w:firstLineChars="200"/>
        <w:rPr>
          <w:rFonts w:hint="eastAsia" w:ascii="仿宋_GB2312" w:hAnsi="Times New Roman" w:eastAsia="仿宋_GB2312" w:cs="仿宋_GB2312"/>
          <w:sz w:val="28"/>
          <w:szCs w:val="28"/>
          <w:lang w:eastAsia="zh-CN"/>
        </w:rPr>
        <w:sectPr>
          <w:pgSz w:w="11906" w:h="16838"/>
          <w:pgMar w:top="1440" w:right="1800" w:bottom="1440" w:left="1800" w:header="851" w:footer="992" w:gutter="0"/>
          <w:cols w:space="425" w:num="1"/>
          <w:docGrid w:type="lines" w:linePitch="312" w:charSpace="0"/>
        </w:sectPr>
      </w:pPr>
      <w:r>
        <w:rPr>
          <w:rFonts w:hint="eastAsia" w:ascii="仿宋_GB2312" w:hAnsi="Times New Roman" w:eastAsia="仿宋_GB2312" w:cs="仿宋_GB2312"/>
          <w:sz w:val="28"/>
          <w:szCs w:val="28"/>
          <w:lang w:val="en-US" w:eastAsia="zh-CN"/>
        </w:rPr>
        <w:t>实验室内贮存点（实验室暂存区）产生废弃剧毒、易制毒、易制爆等危险化学品时除前述规定的有关事项，应按照有关规定严格申报手续，确保分类信息无误。按照合规的方式进行预处理、运输、贮存、处置，严防实验室危险废物丢失被盗。</w:t>
      </w:r>
    </w:p>
    <w:p w14:paraId="0664DB8E">
      <w:pPr>
        <w:spacing w:line="480" w:lineRule="exact"/>
        <w:ind w:firstLine="0" w:firstLineChars="0"/>
        <w:rPr>
          <w:rFonts w:ascii="仿宋_GB2312" w:hAnsi="Times New Roman" w:eastAsia="仿宋_GB2312" w:cs="仿宋_GB2312"/>
          <w:sz w:val="28"/>
          <w:szCs w:val="28"/>
        </w:rPr>
      </w:pPr>
    </w:p>
    <w:p w14:paraId="2761531A">
      <w:pPr>
        <w:spacing w:line="360" w:lineRule="auto"/>
        <w:jc w:val="left"/>
        <w:rPr>
          <w:b/>
          <w:bCs/>
          <w:sz w:val="28"/>
          <w:szCs w:val="28"/>
        </w:rPr>
      </w:pPr>
      <w:r>
        <w:rPr>
          <w:rFonts w:ascii="仿宋_GB2312" w:hAnsi="Times New Roman" w:eastAsia="仿宋_GB2312" w:cs="仿宋_GB2312"/>
          <w:sz w:val="28"/>
          <w:szCs w:val="28"/>
        </w:rPr>
        <w:t xml:space="preserve">  </w:t>
      </w:r>
      <w:r>
        <w:rPr>
          <w:rFonts w:hint="eastAsia"/>
          <w:sz w:val="24"/>
          <w:szCs w:val="24"/>
        </w:rPr>
        <w:t xml:space="preserve">表一              </w:t>
      </w:r>
      <w:r>
        <w:rPr>
          <w:rFonts w:hint="eastAsia"/>
          <w:b/>
          <w:bCs/>
          <w:sz w:val="28"/>
          <w:szCs w:val="28"/>
        </w:rPr>
        <w:t>不同危险废物与一般容器相容性</w:t>
      </w:r>
    </w:p>
    <w:tbl>
      <w:tblPr>
        <w:tblStyle w:val="6"/>
        <w:tblpPr w:leftFromText="180" w:rightFromText="180" w:vertAnchor="text" w:horzAnchor="page" w:tblpX="945" w:tblpY="193"/>
        <w:tblOverlap w:val="never"/>
        <w:tblW w:w="9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8"/>
        <w:gridCol w:w="1550"/>
        <w:gridCol w:w="750"/>
        <w:gridCol w:w="700"/>
        <w:gridCol w:w="725"/>
        <w:gridCol w:w="850"/>
        <w:gridCol w:w="800"/>
        <w:gridCol w:w="937"/>
        <w:gridCol w:w="700"/>
        <w:gridCol w:w="800"/>
      </w:tblGrid>
      <w:tr w14:paraId="5C37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vMerge w:val="restart"/>
            <w:shd w:val="clear" w:color="auto" w:fill="auto"/>
            <w:vAlign w:val="center"/>
          </w:tcPr>
          <w:p w14:paraId="0E4D185B">
            <w:pPr>
              <w:snapToGrid w:val="0"/>
              <w:spacing w:line="420" w:lineRule="exact"/>
              <w:jc w:val="center"/>
              <w:rPr>
                <w:color w:val="000000"/>
              </w:rPr>
            </w:pPr>
            <w:r>
              <w:rPr>
                <w:rFonts w:hint="eastAsia"/>
                <w:color w:val="000000"/>
              </w:rPr>
              <w:t>危废名称</w:t>
            </w:r>
          </w:p>
        </w:tc>
        <w:tc>
          <w:tcPr>
            <w:tcW w:w="1550" w:type="dxa"/>
            <w:vMerge w:val="restart"/>
            <w:shd w:val="clear" w:color="auto" w:fill="auto"/>
            <w:vAlign w:val="center"/>
          </w:tcPr>
          <w:p w14:paraId="3A84E3DF">
            <w:pPr>
              <w:snapToGrid w:val="0"/>
              <w:spacing w:line="420" w:lineRule="exact"/>
              <w:jc w:val="center"/>
              <w:rPr>
                <w:color w:val="000000"/>
              </w:rPr>
            </w:pPr>
            <w:r>
              <w:rPr>
                <w:rFonts w:hint="eastAsia"/>
                <w:color w:val="000000"/>
              </w:rPr>
              <w:t>典型类别</w:t>
            </w:r>
          </w:p>
        </w:tc>
        <w:tc>
          <w:tcPr>
            <w:tcW w:w="6262" w:type="dxa"/>
            <w:gridSpan w:val="8"/>
            <w:shd w:val="clear" w:color="auto" w:fill="auto"/>
            <w:vAlign w:val="center"/>
          </w:tcPr>
          <w:p w14:paraId="3DA13E16">
            <w:pPr>
              <w:snapToGrid w:val="0"/>
              <w:spacing w:line="420" w:lineRule="exact"/>
              <w:jc w:val="center"/>
              <w:rPr>
                <w:color w:val="000000"/>
              </w:rPr>
            </w:pPr>
            <w:r>
              <w:rPr>
                <w:rFonts w:hint="eastAsia"/>
                <w:color w:val="000000"/>
              </w:rPr>
              <w:t>容器或衬垫的材料</w:t>
            </w:r>
          </w:p>
        </w:tc>
      </w:tr>
      <w:tr w14:paraId="3394A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838" w:type="dxa"/>
            <w:vMerge w:val="continue"/>
            <w:shd w:val="clear" w:color="auto" w:fill="auto"/>
          </w:tcPr>
          <w:p w14:paraId="38D0ABFF">
            <w:pPr>
              <w:snapToGrid w:val="0"/>
              <w:jc w:val="center"/>
              <w:rPr>
                <w:color w:val="000000"/>
              </w:rPr>
            </w:pPr>
          </w:p>
        </w:tc>
        <w:tc>
          <w:tcPr>
            <w:tcW w:w="1550" w:type="dxa"/>
            <w:vMerge w:val="continue"/>
            <w:shd w:val="clear" w:color="auto" w:fill="auto"/>
          </w:tcPr>
          <w:p w14:paraId="6A55D934">
            <w:pPr>
              <w:snapToGrid w:val="0"/>
              <w:spacing w:line="420" w:lineRule="exact"/>
              <w:jc w:val="left"/>
              <w:rPr>
                <w:color w:val="000000"/>
              </w:rPr>
            </w:pPr>
          </w:p>
        </w:tc>
        <w:tc>
          <w:tcPr>
            <w:tcW w:w="750" w:type="dxa"/>
            <w:vMerge w:val="restart"/>
            <w:shd w:val="clear" w:color="auto" w:fill="auto"/>
            <w:vAlign w:val="center"/>
          </w:tcPr>
          <w:p w14:paraId="2314E8ED">
            <w:pPr>
              <w:snapToGrid w:val="0"/>
              <w:ind w:right="-121"/>
              <w:jc w:val="center"/>
              <w:rPr>
                <w:color w:val="000000"/>
              </w:rPr>
            </w:pPr>
            <w:r>
              <w:rPr>
                <w:rFonts w:hint="eastAsia"/>
                <w:color w:val="000000"/>
              </w:rPr>
              <w:t>高密度聚乙烯HDPE</w:t>
            </w:r>
          </w:p>
        </w:tc>
        <w:tc>
          <w:tcPr>
            <w:tcW w:w="700" w:type="dxa"/>
            <w:vMerge w:val="restart"/>
            <w:shd w:val="clear" w:color="auto" w:fill="auto"/>
            <w:vAlign w:val="center"/>
          </w:tcPr>
          <w:p w14:paraId="7CB61AAA">
            <w:pPr>
              <w:snapToGrid w:val="0"/>
              <w:ind w:right="-111" w:hanging="200"/>
              <w:jc w:val="center"/>
              <w:rPr>
                <w:color w:val="000000"/>
              </w:rPr>
            </w:pPr>
            <w:r>
              <w:rPr>
                <w:rFonts w:hint="eastAsia"/>
                <w:color w:val="000000"/>
              </w:rPr>
              <w:t>聚丙烯</w:t>
            </w:r>
          </w:p>
          <w:p w14:paraId="07909809">
            <w:pPr>
              <w:snapToGrid w:val="0"/>
              <w:jc w:val="center"/>
              <w:rPr>
                <w:color w:val="000000"/>
              </w:rPr>
            </w:pPr>
            <w:r>
              <w:rPr>
                <w:rFonts w:hint="eastAsia"/>
                <w:color w:val="000000"/>
              </w:rPr>
              <w:t>PP</w:t>
            </w:r>
          </w:p>
        </w:tc>
        <w:tc>
          <w:tcPr>
            <w:tcW w:w="725" w:type="dxa"/>
            <w:vMerge w:val="restart"/>
            <w:shd w:val="clear" w:color="auto" w:fill="auto"/>
            <w:vAlign w:val="center"/>
          </w:tcPr>
          <w:p w14:paraId="3855F167">
            <w:pPr>
              <w:snapToGrid w:val="0"/>
              <w:ind w:right="-126"/>
              <w:jc w:val="center"/>
              <w:rPr>
                <w:color w:val="000000"/>
              </w:rPr>
            </w:pPr>
            <w:r>
              <w:rPr>
                <w:rFonts w:hint="eastAsia"/>
                <w:color w:val="000000"/>
              </w:rPr>
              <w:t>聚氯乙烯</w:t>
            </w:r>
          </w:p>
          <w:p w14:paraId="4CB798E3">
            <w:pPr>
              <w:snapToGrid w:val="0"/>
              <w:jc w:val="center"/>
              <w:rPr>
                <w:color w:val="000000"/>
              </w:rPr>
            </w:pPr>
            <w:r>
              <w:rPr>
                <w:rFonts w:hint="eastAsia"/>
                <w:color w:val="000000"/>
              </w:rPr>
              <w:t>PVC</w:t>
            </w:r>
          </w:p>
        </w:tc>
        <w:tc>
          <w:tcPr>
            <w:tcW w:w="850" w:type="dxa"/>
            <w:vMerge w:val="restart"/>
            <w:shd w:val="clear" w:color="auto" w:fill="auto"/>
            <w:vAlign w:val="center"/>
          </w:tcPr>
          <w:p w14:paraId="524C214B">
            <w:pPr>
              <w:snapToGrid w:val="0"/>
              <w:jc w:val="center"/>
              <w:rPr>
                <w:color w:val="000000"/>
              </w:rPr>
            </w:pPr>
            <w:r>
              <w:rPr>
                <w:rFonts w:hint="eastAsia"/>
                <w:color w:val="000000"/>
              </w:rPr>
              <w:t>聚四氟乙烯</w:t>
            </w:r>
          </w:p>
          <w:p w14:paraId="1D413D72">
            <w:pPr>
              <w:snapToGrid w:val="0"/>
              <w:jc w:val="center"/>
              <w:rPr>
                <w:color w:val="000000"/>
              </w:rPr>
            </w:pPr>
            <w:r>
              <w:rPr>
                <w:rFonts w:hint="eastAsia"/>
                <w:color w:val="000000"/>
              </w:rPr>
              <w:t>PTFE</w:t>
            </w:r>
          </w:p>
        </w:tc>
        <w:tc>
          <w:tcPr>
            <w:tcW w:w="800" w:type="dxa"/>
            <w:vMerge w:val="restart"/>
            <w:shd w:val="clear" w:color="auto" w:fill="auto"/>
            <w:vAlign w:val="center"/>
          </w:tcPr>
          <w:p w14:paraId="3CB5076B">
            <w:pPr>
              <w:snapToGrid w:val="0"/>
              <w:jc w:val="center"/>
              <w:rPr>
                <w:color w:val="000000"/>
              </w:rPr>
            </w:pPr>
            <w:r>
              <w:rPr>
                <w:rFonts w:hint="eastAsia"/>
                <w:color w:val="000000"/>
              </w:rPr>
              <w:t>软碳钢</w:t>
            </w:r>
          </w:p>
        </w:tc>
        <w:tc>
          <w:tcPr>
            <w:tcW w:w="2437" w:type="dxa"/>
            <w:gridSpan w:val="3"/>
            <w:shd w:val="clear" w:color="auto" w:fill="auto"/>
            <w:vAlign w:val="center"/>
          </w:tcPr>
          <w:p w14:paraId="1ADEEE34">
            <w:pPr>
              <w:snapToGrid w:val="0"/>
              <w:jc w:val="center"/>
              <w:rPr>
                <w:color w:val="000000"/>
              </w:rPr>
            </w:pPr>
            <w:r>
              <w:rPr>
                <w:rFonts w:hint="eastAsia"/>
                <w:color w:val="000000"/>
              </w:rPr>
              <w:t>不锈钢</w:t>
            </w:r>
          </w:p>
        </w:tc>
      </w:tr>
      <w:tr w14:paraId="7447F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1838" w:type="dxa"/>
            <w:vMerge w:val="continue"/>
            <w:shd w:val="clear" w:color="auto" w:fill="auto"/>
          </w:tcPr>
          <w:p w14:paraId="6B069CFB">
            <w:pPr>
              <w:snapToGrid w:val="0"/>
              <w:rPr>
                <w:color w:val="000000"/>
              </w:rPr>
            </w:pPr>
          </w:p>
        </w:tc>
        <w:tc>
          <w:tcPr>
            <w:tcW w:w="1550" w:type="dxa"/>
            <w:vMerge w:val="continue"/>
            <w:shd w:val="clear" w:color="auto" w:fill="auto"/>
          </w:tcPr>
          <w:p w14:paraId="39BC4BDB">
            <w:pPr>
              <w:snapToGrid w:val="0"/>
              <w:spacing w:line="420" w:lineRule="exact"/>
              <w:jc w:val="left"/>
              <w:rPr>
                <w:color w:val="000000"/>
              </w:rPr>
            </w:pPr>
          </w:p>
        </w:tc>
        <w:tc>
          <w:tcPr>
            <w:tcW w:w="750" w:type="dxa"/>
            <w:vMerge w:val="continue"/>
            <w:shd w:val="clear" w:color="auto" w:fill="auto"/>
            <w:vAlign w:val="center"/>
          </w:tcPr>
          <w:p w14:paraId="13A34447">
            <w:pPr>
              <w:snapToGrid w:val="0"/>
              <w:jc w:val="center"/>
              <w:rPr>
                <w:color w:val="000000"/>
              </w:rPr>
            </w:pPr>
          </w:p>
        </w:tc>
        <w:tc>
          <w:tcPr>
            <w:tcW w:w="700" w:type="dxa"/>
            <w:vMerge w:val="continue"/>
            <w:shd w:val="clear" w:color="auto" w:fill="auto"/>
            <w:vAlign w:val="center"/>
          </w:tcPr>
          <w:p w14:paraId="06CA9292">
            <w:pPr>
              <w:snapToGrid w:val="0"/>
              <w:jc w:val="center"/>
              <w:rPr>
                <w:color w:val="000000"/>
              </w:rPr>
            </w:pPr>
          </w:p>
        </w:tc>
        <w:tc>
          <w:tcPr>
            <w:tcW w:w="725" w:type="dxa"/>
            <w:vMerge w:val="continue"/>
            <w:shd w:val="clear" w:color="auto" w:fill="auto"/>
            <w:vAlign w:val="center"/>
          </w:tcPr>
          <w:p w14:paraId="71AFA365">
            <w:pPr>
              <w:snapToGrid w:val="0"/>
              <w:jc w:val="center"/>
              <w:rPr>
                <w:color w:val="000000"/>
              </w:rPr>
            </w:pPr>
          </w:p>
        </w:tc>
        <w:tc>
          <w:tcPr>
            <w:tcW w:w="850" w:type="dxa"/>
            <w:vMerge w:val="continue"/>
            <w:shd w:val="clear" w:color="auto" w:fill="auto"/>
            <w:vAlign w:val="center"/>
          </w:tcPr>
          <w:p w14:paraId="4A6B1031">
            <w:pPr>
              <w:snapToGrid w:val="0"/>
              <w:jc w:val="center"/>
              <w:rPr>
                <w:color w:val="000000"/>
              </w:rPr>
            </w:pPr>
          </w:p>
        </w:tc>
        <w:tc>
          <w:tcPr>
            <w:tcW w:w="800" w:type="dxa"/>
            <w:vMerge w:val="continue"/>
            <w:shd w:val="clear" w:color="auto" w:fill="auto"/>
            <w:vAlign w:val="center"/>
          </w:tcPr>
          <w:p w14:paraId="3306C812">
            <w:pPr>
              <w:snapToGrid w:val="0"/>
              <w:jc w:val="center"/>
              <w:rPr>
                <w:color w:val="000000"/>
              </w:rPr>
            </w:pPr>
          </w:p>
        </w:tc>
        <w:tc>
          <w:tcPr>
            <w:tcW w:w="937" w:type="dxa"/>
            <w:shd w:val="clear" w:color="auto" w:fill="auto"/>
            <w:vAlign w:val="center"/>
          </w:tcPr>
          <w:p w14:paraId="2EFFA1A8">
            <w:pPr>
              <w:snapToGrid w:val="0"/>
              <w:jc w:val="center"/>
              <w:rPr>
                <w:color w:val="000000"/>
              </w:rPr>
            </w:pPr>
            <w:r>
              <w:rPr>
                <w:rFonts w:hint="eastAsia"/>
                <w:color w:val="000000"/>
              </w:rPr>
              <w:t>OCr18 Ni9(GB)</w:t>
            </w:r>
          </w:p>
        </w:tc>
        <w:tc>
          <w:tcPr>
            <w:tcW w:w="700" w:type="dxa"/>
            <w:shd w:val="clear" w:color="auto" w:fill="auto"/>
            <w:vAlign w:val="center"/>
          </w:tcPr>
          <w:p w14:paraId="6C0D47DB">
            <w:pPr>
              <w:snapToGrid w:val="0"/>
              <w:jc w:val="center"/>
              <w:rPr>
                <w:color w:val="000000"/>
              </w:rPr>
            </w:pPr>
            <w:r>
              <w:rPr>
                <w:rFonts w:hint="eastAsia"/>
                <w:color w:val="000000"/>
              </w:rPr>
              <w:t>Mc3Ti(GB)</w:t>
            </w:r>
          </w:p>
        </w:tc>
        <w:tc>
          <w:tcPr>
            <w:tcW w:w="800" w:type="dxa"/>
            <w:shd w:val="clear" w:color="auto" w:fill="auto"/>
            <w:vAlign w:val="center"/>
          </w:tcPr>
          <w:p w14:paraId="44DB3FC6">
            <w:pPr>
              <w:snapToGrid w:val="0"/>
              <w:jc w:val="center"/>
              <w:rPr>
                <w:color w:val="000000"/>
              </w:rPr>
            </w:pPr>
            <w:r>
              <w:rPr>
                <w:rFonts w:hint="eastAsia"/>
                <w:color w:val="000000"/>
              </w:rPr>
              <w:t>9Cr</w:t>
            </w:r>
          </w:p>
          <w:p w14:paraId="27468D99">
            <w:pPr>
              <w:snapToGrid w:val="0"/>
              <w:rPr>
                <w:color w:val="000000"/>
              </w:rPr>
            </w:pPr>
            <w:r>
              <w:rPr>
                <w:rFonts w:hint="eastAsia"/>
                <w:color w:val="000000"/>
              </w:rPr>
              <w:t>18M0V(GB)</w:t>
            </w:r>
          </w:p>
        </w:tc>
      </w:tr>
      <w:tr w14:paraId="774A5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1838" w:type="dxa"/>
            <w:shd w:val="clear" w:color="auto" w:fill="auto"/>
          </w:tcPr>
          <w:p w14:paraId="75BC5103">
            <w:pPr>
              <w:snapToGrid w:val="0"/>
              <w:jc w:val="left"/>
              <w:rPr>
                <w:color w:val="000000"/>
              </w:rPr>
            </w:pPr>
            <w:r>
              <w:rPr>
                <w:rFonts w:hint="eastAsia"/>
                <w:color w:val="000000"/>
              </w:rPr>
              <w:t>酸（非氧化）如盐酸、硼酸</w:t>
            </w:r>
          </w:p>
        </w:tc>
        <w:tc>
          <w:tcPr>
            <w:tcW w:w="1550" w:type="dxa"/>
            <w:shd w:val="clear" w:color="auto" w:fill="auto"/>
          </w:tcPr>
          <w:p w14:paraId="658FB425">
            <w:pPr>
              <w:snapToGrid w:val="0"/>
              <w:spacing w:line="420" w:lineRule="exact"/>
              <w:jc w:val="left"/>
              <w:rPr>
                <w:color w:val="000000"/>
                <w:sz w:val="24"/>
                <w:szCs w:val="24"/>
              </w:rPr>
            </w:pPr>
            <w:r>
              <w:rPr>
                <w:rFonts w:hint="eastAsia" w:ascii="Arial" w:hAnsi="Arial" w:cs="Arial"/>
                <w:color w:val="000000"/>
                <w:sz w:val="18"/>
                <w:szCs w:val="18"/>
              </w:rPr>
              <w:t>HW34</w:t>
            </w:r>
          </w:p>
        </w:tc>
        <w:tc>
          <w:tcPr>
            <w:tcW w:w="750" w:type="dxa"/>
            <w:shd w:val="clear" w:color="auto" w:fill="auto"/>
            <w:vAlign w:val="center"/>
          </w:tcPr>
          <w:p w14:paraId="7C061596">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15820565">
            <w:pPr>
              <w:snapToGrid w:val="0"/>
              <w:spacing w:line="420" w:lineRule="exact"/>
              <w:jc w:val="center"/>
              <w:rPr>
                <w:color w:val="000000"/>
                <w:sz w:val="24"/>
                <w:szCs w:val="24"/>
              </w:rPr>
            </w:pPr>
            <w:r>
              <w:rPr>
                <w:rFonts w:hint="eastAsia"/>
                <w:color w:val="000000"/>
                <w:sz w:val="24"/>
                <w:szCs w:val="24"/>
              </w:rPr>
              <w:t>R</w:t>
            </w:r>
          </w:p>
        </w:tc>
        <w:tc>
          <w:tcPr>
            <w:tcW w:w="725" w:type="dxa"/>
            <w:shd w:val="clear" w:color="auto" w:fill="auto"/>
            <w:vAlign w:val="center"/>
          </w:tcPr>
          <w:p w14:paraId="79EF0C36">
            <w:pPr>
              <w:snapToGrid w:val="0"/>
              <w:spacing w:line="420" w:lineRule="exact"/>
              <w:jc w:val="center"/>
              <w:rPr>
                <w:color w:val="000000"/>
                <w:sz w:val="24"/>
                <w:szCs w:val="24"/>
              </w:rPr>
            </w:pPr>
            <w:r>
              <w:rPr>
                <w:rFonts w:hint="eastAsia"/>
                <w:b/>
                <w:bCs/>
                <w:color w:val="000000"/>
                <w:sz w:val="24"/>
                <w:szCs w:val="24"/>
              </w:rPr>
              <w:t>A</w:t>
            </w:r>
          </w:p>
        </w:tc>
        <w:tc>
          <w:tcPr>
            <w:tcW w:w="850" w:type="dxa"/>
            <w:shd w:val="clear" w:color="auto" w:fill="auto"/>
            <w:vAlign w:val="center"/>
          </w:tcPr>
          <w:p w14:paraId="4992EC8D">
            <w:pPr>
              <w:snapToGrid w:val="0"/>
              <w:spacing w:line="420" w:lineRule="exact"/>
              <w:ind w:right="-156"/>
              <w:jc w:val="center"/>
              <w:rPr>
                <w:color w:val="000000"/>
                <w:sz w:val="24"/>
                <w:szCs w:val="24"/>
              </w:rPr>
            </w:pPr>
            <w:r>
              <w:rPr>
                <w:rFonts w:hint="eastAsia"/>
                <w:color w:val="000000"/>
                <w:sz w:val="24"/>
                <w:szCs w:val="24"/>
              </w:rPr>
              <w:t>R</w:t>
            </w:r>
          </w:p>
        </w:tc>
        <w:tc>
          <w:tcPr>
            <w:tcW w:w="800" w:type="dxa"/>
            <w:shd w:val="clear" w:color="auto" w:fill="auto"/>
            <w:vAlign w:val="center"/>
          </w:tcPr>
          <w:p w14:paraId="5B9F11DC">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4D9FECAF">
            <w:pPr>
              <w:snapToGrid w:val="0"/>
              <w:spacing w:line="420" w:lineRule="exact"/>
              <w:jc w:val="center"/>
              <w:rPr>
                <w:color w:val="000000"/>
                <w:sz w:val="24"/>
                <w:szCs w:val="24"/>
              </w:rPr>
            </w:pPr>
            <w:r>
              <w:rPr>
                <w:rFonts w:hint="eastAsia"/>
                <w:color w:val="000000"/>
                <w:sz w:val="24"/>
                <w:szCs w:val="24"/>
              </w:rPr>
              <w:t>O</w:t>
            </w:r>
          </w:p>
        </w:tc>
        <w:tc>
          <w:tcPr>
            <w:tcW w:w="700" w:type="dxa"/>
            <w:shd w:val="clear" w:color="auto" w:fill="auto"/>
            <w:vAlign w:val="center"/>
          </w:tcPr>
          <w:p w14:paraId="6EA891FD">
            <w:pPr>
              <w:snapToGrid w:val="0"/>
              <w:spacing w:line="420" w:lineRule="exact"/>
              <w:jc w:val="center"/>
              <w:rPr>
                <w:color w:val="000000"/>
                <w:sz w:val="24"/>
                <w:szCs w:val="24"/>
              </w:rPr>
            </w:pPr>
            <w:r>
              <w:rPr>
                <w:rFonts w:hint="eastAsia"/>
                <w:color w:val="000000"/>
                <w:sz w:val="24"/>
                <w:szCs w:val="24"/>
              </w:rPr>
              <w:t>O</w:t>
            </w:r>
          </w:p>
        </w:tc>
        <w:tc>
          <w:tcPr>
            <w:tcW w:w="800" w:type="dxa"/>
            <w:shd w:val="clear" w:color="auto" w:fill="auto"/>
            <w:vAlign w:val="center"/>
          </w:tcPr>
          <w:p w14:paraId="11B35ED8">
            <w:pPr>
              <w:snapToGrid w:val="0"/>
              <w:spacing w:line="420" w:lineRule="exact"/>
              <w:jc w:val="center"/>
              <w:rPr>
                <w:color w:val="000000"/>
                <w:sz w:val="24"/>
                <w:szCs w:val="24"/>
              </w:rPr>
            </w:pPr>
            <w:r>
              <w:rPr>
                <w:rFonts w:hint="eastAsia"/>
                <w:color w:val="000000"/>
                <w:sz w:val="24"/>
                <w:szCs w:val="24"/>
              </w:rPr>
              <w:t>O</w:t>
            </w:r>
          </w:p>
        </w:tc>
      </w:tr>
      <w:tr w14:paraId="04B68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52E4FEE1">
            <w:pPr>
              <w:snapToGrid w:val="0"/>
              <w:ind w:right="-226"/>
              <w:jc w:val="left"/>
              <w:rPr>
                <w:color w:val="000000"/>
              </w:rPr>
            </w:pPr>
            <w:r>
              <w:rPr>
                <w:rFonts w:hint="eastAsia"/>
                <w:color w:val="000000"/>
              </w:rPr>
              <w:t>酸（氧化）如硝酸</w:t>
            </w:r>
          </w:p>
        </w:tc>
        <w:tc>
          <w:tcPr>
            <w:tcW w:w="1550" w:type="dxa"/>
            <w:shd w:val="clear" w:color="auto" w:fill="auto"/>
          </w:tcPr>
          <w:p w14:paraId="6ECF8EF1">
            <w:pPr>
              <w:snapToGrid w:val="0"/>
              <w:spacing w:line="420" w:lineRule="exact"/>
              <w:jc w:val="left"/>
              <w:rPr>
                <w:color w:val="000000"/>
                <w:sz w:val="24"/>
                <w:szCs w:val="24"/>
              </w:rPr>
            </w:pPr>
            <w:r>
              <w:rPr>
                <w:rFonts w:hint="eastAsia" w:ascii="Arial" w:hAnsi="Arial" w:cs="Arial"/>
                <w:color w:val="000000"/>
                <w:sz w:val="18"/>
                <w:szCs w:val="18"/>
              </w:rPr>
              <w:t>HW34</w:t>
            </w:r>
          </w:p>
        </w:tc>
        <w:tc>
          <w:tcPr>
            <w:tcW w:w="750" w:type="dxa"/>
            <w:shd w:val="clear" w:color="auto" w:fill="auto"/>
            <w:vAlign w:val="center"/>
          </w:tcPr>
          <w:p w14:paraId="635CC786">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120473CE">
            <w:pPr>
              <w:snapToGrid w:val="0"/>
              <w:spacing w:line="420" w:lineRule="exact"/>
              <w:jc w:val="center"/>
              <w:rPr>
                <w:color w:val="000000"/>
                <w:sz w:val="24"/>
                <w:szCs w:val="24"/>
              </w:rPr>
            </w:pPr>
            <w:r>
              <w:rPr>
                <w:rFonts w:hint="eastAsia"/>
                <w:color w:val="000000"/>
                <w:sz w:val="24"/>
                <w:szCs w:val="24"/>
              </w:rPr>
              <w:t xml:space="preserve">N </w:t>
            </w:r>
          </w:p>
        </w:tc>
        <w:tc>
          <w:tcPr>
            <w:tcW w:w="725" w:type="dxa"/>
            <w:shd w:val="clear" w:color="auto" w:fill="auto"/>
            <w:vAlign w:val="center"/>
          </w:tcPr>
          <w:p w14:paraId="3B2829A1">
            <w:pPr>
              <w:snapToGrid w:val="0"/>
              <w:spacing w:line="420" w:lineRule="exact"/>
              <w:jc w:val="center"/>
              <w:rPr>
                <w:color w:val="000000"/>
                <w:sz w:val="24"/>
                <w:szCs w:val="24"/>
              </w:rPr>
            </w:pPr>
            <w:r>
              <w:rPr>
                <w:rFonts w:hint="eastAsia"/>
                <w:color w:val="000000"/>
                <w:sz w:val="24"/>
                <w:szCs w:val="24"/>
              </w:rPr>
              <w:t xml:space="preserve">N </w:t>
            </w:r>
          </w:p>
        </w:tc>
        <w:tc>
          <w:tcPr>
            <w:tcW w:w="850" w:type="dxa"/>
            <w:shd w:val="clear" w:color="auto" w:fill="auto"/>
            <w:vAlign w:val="center"/>
          </w:tcPr>
          <w:p w14:paraId="09276AAE">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370977AD">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04A8A940">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49077DB4">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6DFB4877">
            <w:pPr>
              <w:snapToGrid w:val="0"/>
              <w:spacing w:line="420" w:lineRule="exact"/>
              <w:jc w:val="center"/>
              <w:rPr>
                <w:color w:val="000000"/>
                <w:sz w:val="24"/>
                <w:szCs w:val="24"/>
              </w:rPr>
            </w:pPr>
            <w:r>
              <w:rPr>
                <w:rFonts w:hint="eastAsia"/>
                <w:color w:val="000000"/>
                <w:sz w:val="24"/>
                <w:szCs w:val="24"/>
              </w:rPr>
              <w:t>O</w:t>
            </w:r>
          </w:p>
        </w:tc>
      </w:tr>
      <w:tr w14:paraId="2F0AE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282CBAC5">
            <w:pPr>
              <w:snapToGrid w:val="0"/>
              <w:jc w:val="left"/>
              <w:rPr>
                <w:color w:val="000000"/>
              </w:rPr>
            </w:pPr>
            <w:r>
              <w:rPr>
                <w:rFonts w:hint="eastAsia"/>
                <w:color w:val="000000"/>
              </w:rPr>
              <w:t>碱</w:t>
            </w:r>
          </w:p>
        </w:tc>
        <w:tc>
          <w:tcPr>
            <w:tcW w:w="1550" w:type="dxa"/>
            <w:shd w:val="clear" w:color="auto" w:fill="auto"/>
          </w:tcPr>
          <w:p w14:paraId="112616C0">
            <w:pPr>
              <w:snapToGrid w:val="0"/>
              <w:spacing w:line="420" w:lineRule="exact"/>
              <w:jc w:val="left"/>
              <w:rPr>
                <w:color w:val="000000"/>
                <w:sz w:val="24"/>
                <w:szCs w:val="24"/>
              </w:rPr>
            </w:pPr>
            <w:r>
              <w:rPr>
                <w:rFonts w:hint="eastAsia" w:ascii="Arial" w:hAnsi="Arial" w:cs="Arial"/>
                <w:color w:val="000000"/>
                <w:sz w:val="18"/>
                <w:szCs w:val="18"/>
              </w:rPr>
              <w:t>HW35</w:t>
            </w:r>
          </w:p>
        </w:tc>
        <w:tc>
          <w:tcPr>
            <w:tcW w:w="750" w:type="dxa"/>
            <w:shd w:val="clear" w:color="auto" w:fill="auto"/>
            <w:vAlign w:val="center"/>
          </w:tcPr>
          <w:p w14:paraId="2DE97CE6">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1195A98F">
            <w:pPr>
              <w:snapToGrid w:val="0"/>
              <w:spacing w:line="420" w:lineRule="exact"/>
              <w:jc w:val="center"/>
              <w:rPr>
                <w:color w:val="000000"/>
                <w:sz w:val="24"/>
                <w:szCs w:val="24"/>
              </w:rPr>
            </w:pPr>
            <w:r>
              <w:rPr>
                <w:rFonts w:hint="eastAsia"/>
                <w:color w:val="000000"/>
                <w:sz w:val="24"/>
                <w:szCs w:val="24"/>
              </w:rPr>
              <w:t>R</w:t>
            </w:r>
          </w:p>
        </w:tc>
        <w:tc>
          <w:tcPr>
            <w:tcW w:w="725" w:type="dxa"/>
            <w:shd w:val="clear" w:color="auto" w:fill="auto"/>
            <w:vAlign w:val="center"/>
          </w:tcPr>
          <w:p w14:paraId="41319792">
            <w:pPr>
              <w:snapToGrid w:val="0"/>
              <w:spacing w:line="420" w:lineRule="exact"/>
              <w:jc w:val="center"/>
              <w:rPr>
                <w:color w:val="000000"/>
                <w:sz w:val="24"/>
                <w:szCs w:val="24"/>
              </w:rPr>
            </w:pPr>
            <w:r>
              <w:rPr>
                <w:rFonts w:hint="eastAsia"/>
                <w:b/>
                <w:bCs/>
                <w:color w:val="000000"/>
                <w:sz w:val="24"/>
                <w:szCs w:val="24"/>
              </w:rPr>
              <w:t>A</w:t>
            </w:r>
          </w:p>
        </w:tc>
        <w:tc>
          <w:tcPr>
            <w:tcW w:w="850" w:type="dxa"/>
            <w:shd w:val="clear" w:color="auto" w:fill="auto"/>
            <w:vAlign w:val="center"/>
          </w:tcPr>
          <w:p w14:paraId="0AE7B2C6">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7DC2913A">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2E9ECFE1">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26DD13F4">
            <w:pPr>
              <w:snapToGrid w:val="0"/>
              <w:spacing w:line="420" w:lineRule="exact"/>
              <w:jc w:val="center"/>
              <w:rPr>
                <w:color w:val="000000"/>
                <w:sz w:val="24"/>
                <w:szCs w:val="24"/>
              </w:rPr>
            </w:pPr>
            <w:r>
              <w:rPr>
                <w:rFonts w:hint="eastAsia"/>
                <w:color w:val="000000"/>
                <w:sz w:val="24"/>
                <w:szCs w:val="24"/>
              </w:rPr>
              <w:t>O</w:t>
            </w:r>
          </w:p>
        </w:tc>
        <w:tc>
          <w:tcPr>
            <w:tcW w:w="800" w:type="dxa"/>
            <w:shd w:val="clear" w:color="auto" w:fill="auto"/>
            <w:vAlign w:val="center"/>
          </w:tcPr>
          <w:p w14:paraId="717E2111">
            <w:pPr>
              <w:snapToGrid w:val="0"/>
              <w:spacing w:line="420" w:lineRule="exact"/>
              <w:jc w:val="center"/>
              <w:rPr>
                <w:color w:val="000000"/>
                <w:sz w:val="24"/>
                <w:szCs w:val="24"/>
              </w:rPr>
            </w:pPr>
            <w:r>
              <w:rPr>
                <w:rFonts w:hint="eastAsia"/>
                <w:color w:val="000000"/>
                <w:sz w:val="24"/>
                <w:szCs w:val="24"/>
              </w:rPr>
              <w:t>R</w:t>
            </w:r>
          </w:p>
        </w:tc>
      </w:tr>
      <w:tr w14:paraId="39FF6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67169A02">
            <w:pPr>
              <w:snapToGrid w:val="0"/>
              <w:jc w:val="left"/>
              <w:rPr>
                <w:color w:val="000000"/>
              </w:rPr>
            </w:pPr>
            <w:r>
              <w:rPr>
                <w:rFonts w:hint="eastAsia"/>
                <w:color w:val="000000"/>
              </w:rPr>
              <w:t>铬或非铬氧化剂</w:t>
            </w:r>
          </w:p>
        </w:tc>
        <w:tc>
          <w:tcPr>
            <w:tcW w:w="1550" w:type="dxa"/>
            <w:shd w:val="clear" w:color="auto" w:fill="auto"/>
          </w:tcPr>
          <w:p w14:paraId="1532E564">
            <w:pPr>
              <w:snapToGrid w:val="0"/>
              <w:spacing w:line="420" w:lineRule="exact"/>
              <w:ind w:right="-81"/>
              <w:jc w:val="left"/>
              <w:rPr>
                <w:color w:val="000000"/>
                <w:sz w:val="24"/>
                <w:szCs w:val="24"/>
              </w:rPr>
            </w:pPr>
            <w:r>
              <w:rPr>
                <w:rFonts w:hint="eastAsia" w:ascii="Arial" w:hAnsi="Arial" w:cs="Arial"/>
                <w:color w:val="000000"/>
                <w:sz w:val="18"/>
                <w:szCs w:val="18"/>
              </w:rPr>
              <w:t>HW17、HW21</w:t>
            </w:r>
          </w:p>
        </w:tc>
        <w:tc>
          <w:tcPr>
            <w:tcW w:w="750" w:type="dxa"/>
            <w:shd w:val="clear" w:color="auto" w:fill="auto"/>
            <w:vAlign w:val="center"/>
          </w:tcPr>
          <w:p w14:paraId="2F5F6CC3">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497BBA1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25" w:type="dxa"/>
            <w:shd w:val="clear" w:color="auto" w:fill="auto"/>
            <w:vAlign w:val="center"/>
          </w:tcPr>
          <w:p w14:paraId="1602A2C1">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50" w:type="dxa"/>
            <w:shd w:val="clear" w:color="auto" w:fill="auto"/>
            <w:vAlign w:val="center"/>
          </w:tcPr>
          <w:p w14:paraId="00681F60">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13C891EE">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3CD00283">
            <w:pPr>
              <w:snapToGrid w:val="0"/>
              <w:spacing w:line="420" w:lineRule="exact"/>
              <w:jc w:val="center"/>
              <w:rPr>
                <w:color w:val="000000"/>
                <w:sz w:val="24"/>
                <w:szCs w:val="24"/>
              </w:rPr>
            </w:pPr>
            <w:r>
              <w:rPr>
                <w:rFonts w:hint="eastAsia"/>
                <w:b/>
                <w:bCs/>
                <w:color w:val="000000"/>
                <w:sz w:val="24"/>
                <w:szCs w:val="24"/>
              </w:rPr>
              <w:t>A</w:t>
            </w:r>
          </w:p>
        </w:tc>
        <w:tc>
          <w:tcPr>
            <w:tcW w:w="700" w:type="dxa"/>
            <w:shd w:val="clear" w:color="auto" w:fill="auto"/>
            <w:vAlign w:val="center"/>
          </w:tcPr>
          <w:p w14:paraId="0FEB7162">
            <w:pPr>
              <w:snapToGrid w:val="0"/>
              <w:spacing w:line="420" w:lineRule="exact"/>
              <w:jc w:val="center"/>
              <w:rPr>
                <w:color w:val="000000"/>
                <w:sz w:val="24"/>
                <w:szCs w:val="24"/>
              </w:rPr>
            </w:pPr>
            <w:r>
              <w:rPr>
                <w:rFonts w:hint="eastAsia"/>
                <w:b/>
                <w:bCs/>
                <w:color w:val="000000"/>
                <w:sz w:val="24"/>
                <w:szCs w:val="24"/>
              </w:rPr>
              <w:t>A</w:t>
            </w:r>
          </w:p>
        </w:tc>
        <w:tc>
          <w:tcPr>
            <w:tcW w:w="800" w:type="dxa"/>
            <w:shd w:val="clear" w:color="auto" w:fill="auto"/>
            <w:vAlign w:val="center"/>
          </w:tcPr>
          <w:p w14:paraId="2ABE5A8C">
            <w:pPr>
              <w:snapToGrid w:val="0"/>
              <w:spacing w:line="420" w:lineRule="exact"/>
              <w:jc w:val="center"/>
              <w:rPr>
                <w:color w:val="000000"/>
                <w:sz w:val="24"/>
                <w:szCs w:val="24"/>
              </w:rPr>
            </w:pPr>
            <w:r>
              <w:rPr>
                <w:rFonts w:hint="eastAsia"/>
                <w:color w:val="000000"/>
                <w:sz w:val="24"/>
                <w:szCs w:val="24"/>
              </w:rPr>
              <w:t>O</w:t>
            </w:r>
          </w:p>
        </w:tc>
      </w:tr>
      <w:tr w14:paraId="6541B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7DB5F69D">
            <w:pPr>
              <w:snapToGrid w:val="0"/>
              <w:jc w:val="left"/>
              <w:rPr>
                <w:color w:val="000000"/>
              </w:rPr>
            </w:pPr>
            <w:r>
              <w:rPr>
                <w:rFonts w:hint="eastAsia"/>
                <w:color w:val="000000"/>
              </w:rPr>
              <w:t>废氰化物</w:t>
            </w:r>
          </w:p>
        </w:tc>
        <w:tc>
          <w:tcPr>
            <w:tcW w:w="1550" w:type="dxa"/>
            <w:shd w:val="clear" w:color="auto" w:fill="auto"/>
          </w:tcPr>
          <w:p w14:paraId="2986BC14">
            <w:pPr>
              <w:snapToGrid w:val="0"/>
              <w:spacing w:line="420" w:lineRule="exact"/>
              <w:jc w:val="left"/>
              <w:rPr>
                <w:color w:val="000000"/>
                <w:sz w:val="24"/>
                <w:szCs w:val="24"/>
              </w:rPr>
            </w:pPr>
            <w:r>
              <w:rPr>
                <w:rFonts w:hint="eastAsia" w:ascii="Arial" w:hAnsi="Arial" w:cs="Arial"/>
                <w:color w:val="000000"/>
                <w:sz w:val="18"/>
                <w:szCs w:val="18"/>
              </w:rPr>
              <w:t>HW33</w:t>
            </w:r>
          </w:p>
        </w:tc>
        <w:tc>
          <w:tcPr>
            <w:tcW w:w="750" w:type="dxa"/>
            <w:shd w:val="clear" w:color="auto" w:fill="auto"/>
            <w:vAlign w:val="center"/>
          </w:tcPr>
          <w:p w14:paraId="1BF29C99">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43D5CEBD">
            <w:pPr>
              <w:snapToGrid w:val="0"/>
              <w:spacing w:line="420" w:lineRule="exact"/>
              <w:jc w:val="center"/>
              <w:rPr>
                <w:color w:val="000000"/>
                <w:sz w:val="24"/>
                <w:szCs w:val="24"/>
              </w:rPr>
            </w:pPr>
            <w:r>
              <w:rPr>
                <w:rFonts w:hint="eastAsia"/>
                <w:color w:val="000000"/>
                <w:sz w:val="24"/>
                <w:szCs w:val="24"/>
              </w:rPr>
              <w:t>R</w:t>
            </w:r>
          </w:p>
        </w:tc>
        <w:tc>
          <w:tcPr>
            <w:tcW w:w="725" w:type="dxa"/>
            <w:shd w:val="clear" w:color="auto" w:fill="auto"/>
            <w:vAlign w:val="center"/>
          </w:tcPr>
          <w:p w14:paraId="4697573C">
            <w:pPr>
              <w:snapToGrid w:val="0"/>
              <w:spacing w:line="420" w:lineRule="exact"/>
              <w:jc w:val="center"/>
              <w:rPr>
                <w:color w:val="000000"/>
                <w:sz w:val="24"/>
                <w:szCs w:val="24"/>
              </w:rPr>
            </w:pPr>
            <w:r>
              <w:rPr>
                <w:rFonts w:hint="eastAsia"/>
                <w:color w:val="000000"/>
                <w:sz w:val="24"/>
                <w:szCs w:val="24"/>
              </w:rPr>
              <w:t>R</w:t>
            </w:r>
          </w:p>
        </w:tc>
        <w:tc>
          <w:tcPr>
            <w:tcW w:w="850" w:type="dxa"/>
            <w:shd w:val="clear" w:color="auto" w:fill="auto"/>
            <w:vAlign w:val="center"/>
          </w:tcPr>
          <w:p w14:paraId="0781228D">
            <w:pPr>
              <w:snapToGrid w:val="0"/>
              <w:spacing w:line="420" w:lineRule="exact"/>
              <w:jc w:val="center"/>
              <w:rPr>
                <w:color w:val="000000"/>
                <w:sz w:val="24"/>
                <w:szCs w:val="24"/>
              </w:rPr>
            </w:pPr>
          </w:p>
        </w:tc>
        <w:tc>
          <w:tcPr>
            <w:tcW w:w="800" w:type="dxa"/>
            <w:shd w:val="clear" w:color="auto" w:fill="auto"/>
            <w:vAlign w:val="center"/>
          </w:tcPr>
          <w:p w14:paraId="4D10E365">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503BB988">
            <w:pPr>
              <w:snapToGrid w:val="0"/>
              <w:spacing w:line="420" w:lineRule="exact"/>
              <w:jc w:val="center"/>
              <w:rPr>
                <w:color w:val="000000"/>
                <w:sz w:val="24"/>
                <w:szCs w:val="24"/>
              </w:rPr>
            </w:pPr>
            <w:r>
              <w:rPr>
                <w:rFonts w:hint="eastAsia"/>
                <w:color w:val="000000"/>
                <w:sz w:val="24"/>
                <w:szCs w:val="24"/>
              </w:rPr>
              <w:t xml:space="preserve">N </w:t>
            </w:r>
          </w:p>
        </w:tc>
        <w:tc>
          <w:tcPr>
            <w:tcW w:w="700" w:type="dxa"/>
            <w:shd w:val="clear" w:color="auto" w:fill="auto"/>
            <w:vAlign w:val="center"/>
          </w:tcPr>
          <w:p w14:paraId="066DFECC">
            <w:pPr>
              <w:snapToGrid w:val="0"/>
              <w:spacing w:line="420" w:lineRule="exact"/>
              <w:jc w:val="center"/>
              <w:rPr>
                <w:color w:val="000000"/>
                <w:sz w:val="24"/>
                <w:szCs w:val="24"/>
              </w:rPr>
            </w:pPr>
            <w:r>
              <w:rPr>
                <w:rFonts w:hint="eastAsia"/>
                <w:color w:val="000000"/>
                <w:sz w:val="24"/>
                <w:szCs w:val="24"/>
              </w:rPr>
              <w:t xml:space="preserve">N </w:t>
            </w:r>
          </w:p>
        </w:tc>
        <w:tc>
          <w:tcPr>
            <w:tcW w:w="800" w:type="dxa"/>
            <w:shd w:val="clear" w:color="auto" w:fill="auto"/>
            <w:vAlign w:val="center"/>
          </w:tcPr>
          <w:p w14:paraId="01A61B3E">
            <w:pPr>
              <w:snapToGrid w:val="0"/>
              <w:spacing w:line="420" w:lineRule="exact"/>
              <w:jc w:val="center"/>
              <w:rPr>
                <w:color w:val="000000"/>
                <w:sz w:val="24"/>
                <w:szCs w:val="24"/>
              </w:rPr>
            </w:pPr>
            <w:r>
              <w:rPr>
                <w:rFonts w:hint="eastAsia"/>
                <w:color w:val="000000"/>
                <w:sz w:val="24"/>
                <w:szCs w:val="24"/>
              </w:rPr>
              <w:t xml:space="preserve">N </w:t>
            </w:r>
          </w:p>
        </w:tc>
      </w:tr>
      <w:tr w14:paraId="47EE5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41BCC6E2">
            <w:pPr>
              <w:snapToGrid w:val="0"/>
              <w:ind w:right="-226"/>
              <w:jc w:val="left"/>
              <w:rPr>
                <w:color w:val="000000"/>
              </w:rPr>
            </w:pPr>
            <w:r>
              <w:rPr>
                <w:rFonts w:hint="eastAsia"/>
                <w:color w:val="000000"/>
              </w:rPr>
              <w:t>卤化或非卤化溶剂</w:t>
            </w:r>
          </w:p>
        </w:tc>
        <w:tc>
          <w:tcPr>
            <w:tcW w:w="1550" w:type="dxa"/>
            <w:shd w:val="clear" w:color="auto" w:fill="auto"/>
          </w:tcPr>
          <w:p w14:paraId="433AB0FD">
            <w:pPr>
              <w:snapToGrid w:val="0"/>
              <w:spacing w:line="420" w:lineRule="exact"/>
              <w:ind w:right="-81"/>
              <w:jc w:val="left"/>
              <w:rPr>
                <w:color w:val="000000"/>
                <w:sz w:val="24"/>
                <w:szCs w:val="24"/>
              </w:rPr>
            </w:pPr>
            <w:r>
              <w:rPr>
                <w:rFonts w:hint="eastAsia" w:ascii="Arial" w:hAnsi="Arial" w:cs="Arial"/>
                <w:color w:val="000000"/>
                <w:sz w:val="18"/>
                <w:szCs w:val="18"/>
              </w:rPr>
              <w:t>HW41、HW45</w:t>
            </w:r>
          </w:p>
        </w:tc>
        <w:tc>
          <w:tcPr>
            <w:tcW w:w="750" w:type="dxa"/>
            <w:shd w:val="clear" w:color="auto" w:fill="auto"/>
            <w:vAlign w:val="center"/>
          </w:tcPr>
          <w:p w14:paraId="18C19643">
            <w:pPr>
              <w:snapToGrid w:val="0"/>
              <w:spacing w:line="420" w:lineRule="exact"/>
              <w:jc w:val="center"/>
              <w:rPr>
                <w:color w:val="000000"/>
                <w:sz w:val="24"/>
                <w:szCs w:val="24"/>
              </w:rPr>
            </w:pPr>
            <w:r>
              <w:rPr>
                <w:rFonts w:hint="eastAsia"/>
                <w:color w:val="000000"/>
                <w:sz w:val="24"/>
                <w:szCs w:val="24"/>
              </w:rPr>
              <w:t>O</w:t>
            </w:r>
          </w:p>
        </w:tc>
        <w:tc>
          <w:tcPr>
            <w:tcW w:w="700" w:type="dxa"/>
            <w:shd w:val="clear" w:color="auto" w:fill="auto"/>
            <w:vAlign w:val="center"/>
          </w:tcPr>
          <w:p w14:paraId="75BF79EE">
            <w:pPr>
              <w:snapToGrid w:val="0"/>
              <w:spacing w:line="420" w:lineRule="exact"/>
              <w:jc w:val="center"/>
              <w:rPr>
                <w:color w:val="000000"/>
                <w:sz w:val="24"/>
                <w:szCs w:val="24"/>
              </w:rPr>
            </w:pPr>
            <w:r>
              <w:rPr>
                <w:rFonts w:hint="eastAsia"/>
                <w:color w:val="000000"/>
                <w:sz w:val="24"/>
                <w:szCs w:val="24"/>
              </w:rPr>
              <w:t xml:space="preserve">N </w:t>
            </w:r>
          </w:p>
        </w:tc>
        <w:tc>
          <w:tcPr>
            <w:tcW w:w="725" w:type="dxa"/>
            <w:shd w:val="clear" w:color="auto" w:fill="auto"/>
            <w:vAlign w:val="center"/>
          </w:tcPr>
          <w:p w14:paraId="1D664C80">
            <w:pPr>
              <w:snapToGrid w:val="0"/>
              <w:spacing w:line="420" w:lineRule="exact"/>
              <w:jc w:val="center"/>
              <w:rPr>
                <w:color w:val="000000"/>
                <w:sz w:val="24"/>
                <w:szCs w:val="24"/>
              </w:rPr>
            </w:pPr>
            <w:r>
              <w:rPr>
                <w:rFonts w:hint="eastAsia"/>
                <w:color w:val="000000"/>
                <w:sz w:val="24"/>
                <w:szCs w:val="24"/>
              </w:rPr>
              <w:t xml:space="preserve">N </w:t>
            </w:r>
          </w:p>
        </w:tc>
        <w:tc>
          <w:tcPr>
            <w:tcW w:w="850" w:type="dxa"/>
            <w:shd w:val="clear" w:color="auto" w:fill="auto"/>
            <w:vAlign w:val="center"/>
          </w:tcPr>
          <w:p w14:paraId="7CFAFB5A">
            <w:pPr>
              <w:snapToGrid w:val="0"/>
              <w:spacing w:line="420" w:lineRule="exact"/>
              <w:jc w:val="center"/>
              <w:rPr>
                <w:color w:val="000000"/>
                <w:sz w:val="24"/>
                <w:szCs w:val="24"/>
              </w:rPr>
            </w:pPr>
            <w:r>
              <w:rPr>
                <w:rFonts w:hint="eastAsia"/>
                <w:color w:val="000000"/>
                <w:sz w:val="24"/>
                <w:szCs w:val="24"/>
              </w:rPr>
              <w:t>O</w:t>
            </w:r>
          </w:p>
        </w:tc>
        <w:tc>
          <w:tcPr>
            <w:tcW w:w="800" w:type="dxa"/>
            <w:shd w:val="clear" w:color="auto" w:fill="auto"/>
            <w:vAlign w:val="center"/>
          </w:tcPr>
          <w:p w14:paraId="12DC5D07">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37" w:type="dxa"/>
            <w:shd w:val="clear" w:color="auto" w:fill="auto"/>
            <w:vAlign w:val="center"/>
          </w:tcPr>
          <w:p w14:paraId="0C063178">
            <w:pPr>
              <w:snapToGrid w:val="0"/>
              <w:spacing w:line="420" w:lineRule="exact"/>
              <w:jc w:val="center"/>
              <w:rPr>
                <w:color w:val="000000"/>
                <w:sz w:val="24"/>
                <w:szCs w:val="24"/>
              </w:rPr>
            </w:pPr>
            <w:r>
              <w:rPr>
                <w:rFonts w:hint="eastAsia"/>
                <w:b/>
                <w:bCs/>
                <w:color w:val="000000"/>
                <w:sz w:val="24"/>
                <w:szCs w:val="24"/>
              </w:rPr>
              <w:t>A</w:t>
            </w:r>
          </w:p>
        </w:tc>
        <w:tc>
          <w:tcPr>
            <w:tcW w:w="700" w:type="dxa"/>
            <w:shd w:val="clear" w:color="auto" w:fill="auto"/>
            <w:vAlign w:val="center"/>
          </w:tcPr>
          <w:p w14:paraId="326C611F">
            <w:pPr>
              <w:snapToGrid w:val="0"/>
              <w:spacing w:line="420" w:lineRule="exact"/>
              <w:jc w:val="center"/>
              <w:rPr>
                <w:color w:val="000000"/>
                <w:sz w:val="24"/>
                <w:szCs w:val="24"/>
              </w:rPr>
            </w:pPr>
            <w:r>
              <w:rPr>
                <w:rFonts w:hint="eastAsia"/>
                <w:b/>
                <w:bCs/>
                <w:color w:val="000000"/>
                <w:sz w:val="24"/>
                <w:szCs w:val="24"/>
              </w:rPr>
              <w:t>A</w:t>
            </w:r>
          </w:p>
        </w:tc>
        <w:tc>
          <w:tcPr>
            <w:tcW w:w="800" w:type="dxa"/>
            <w:shd w:val="clear" w:color="auto" w:fill="auto"/>
            <w:vAlign w:val="center"/>
          </w:tcPr>
          <w:p w14:paraId="66EDC3E7">
            <w:pPr>
              <w:snapToGrid w:val="0"/>
              <w:spacing w:line="420" w:lineRule="exact"/>
              <w:jc w:val="center"/>
              <w:rPr>
                <w:color w:val="000000"/>
                <w:sz w:val="24"/>
                <w:szCs w:val="24"/>
              </w:rPr>
            </w:pPr>
            <w:r>
              <w:rPr>
                <w:rFonts w:hint="eastAsia"/>
                <w:b/>
                <w:bCs/>
                <w:color w:val="000000"/>
                <w:sz w:val="24"/>
                <w:szCs w:val="24"/>
              </w:rPr>
              <w:t>A</w:t>
            </w:r>
          </w:p>
        </w:tc>
      </w:tr>
      <w:tr w14:paraId="149E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0A0494ED">
            <w:pPr>
              <w:snapToGrid w:val="0"/>
              <w:jc w:val="left"/>
              <w:rPr>
                <w:color w:val="000000"/>
              </w:rPr>
            </w:pPr>
            <w:r>
              <w:rPr>
                <w:rFonts w:hint="eastAsia"/>
                <w:color w:val="000000"/>
              </w:rPr>
              <w:t>金属盐酸液</w:t>
            </w:r>
          </w:p>
        </w:tc>
        <w:tc>
          <w:tcPr>
            <w:tcW w:w="1550" w:type="dxa"/>
            <w:shd w:val="clear" w:color="auto" w:fill="auto"/>
          </w:tcPr>
          <w:p w14:paraId="436338F6">
            <w:pPr>
              <w:snapToGrid w:val="0"/>
              <w:spacing w:line="420" w:lineRule="exact"/>
              <w:ind w:right="-181"/>
              <w:jc w:val="left"/>
              <w:rPr>
                <w:color w:val="000000"/>
                <w:sz w:val="24"/>
                <w:szCs w:val="24"/>
              </w:rPr>
            </w:pPr>
            <w:r>
              <w:rPr>
                <w:rFonts w:hint="eastAsia" w:ascii="Arial" w:hAnsi="Arial" w:cs="Arial"/>
                <w:color w:val="000000"/>
                <w:sz w:val="18"/>
                <w:szCs w:val="18"/>
              </w:rPr>
              <w:t>HW22、HW34等</w:t>
            </w:r>
          </w:p>
        </w:tc>
        <w:tc>
          <w:tcPr>
            <w:tcW w:w="750" w:type="dxa"/>
            <w:shd w:val="clear" w:color="auto" w:fill="auto"/>
            <w:vAlign w:val="center"/>
          </w:tcPr>
          <w:p w14:paraId="2CE2A69B">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43F877DD">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25" w:type="dxa"/>
            <w:shd w:val="clear" w:color="auto" w:fill="auto"/>
            <w:vAlign w:val="center"/>
          </w:tcPr>
          <w:p w14:paraId="3C1A0F5D">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50" w:type="dxa"/>
            <w:shd w:val="clear" w:color="auto" w:fill="auto"/>
            <w:vAlign w:val="center"/>
          </w:tcPr>
          <w:p w14:paraId="3A5DE15B">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21C26680">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37" w:type="dxa"/>
            <w:shd w:val="clear" w:color="auto" w:fill="auto"/>
            <w:vAlign w:val="center"/>
          </w:tcPr>
          <w:p w14:paraId="6F502A78">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00" w:type="dxa"/>
            <w:shd w:val="clear" w:color="auto" w:fill="auto"/>
            <w:vAlign w:val="center"/>
          </w:tcPr>
          <w:p w14:paraId="594618F6">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00" w:type="dxa"/>
            <w:shd w:val="clear" w:color="auto" w:fill="auto"/>
            <w:vAlign w:val="center"/>
          </w:tcPr>
          <w:p w14:paraId="118611EC">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r>
      <w:tr w14:paraId="6E126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66586B1C">
            <w:pPr>
              <w:snapToGrid w:val="0"/>
              <w:jc w:val="left"/>
              <w:rPr>
                <w:color w:val="000000"/>
              </w:rPr>
            </w:pPr>
            <w:r>
              <w:rPr>
                <w:rFonts w:hint="eastAsia"/>
                <w:color w:val="000000"/>
              </w:rPr>
              <w:t>金属淤泥</w:t>
            </w:r>
          </w:p>
        </w:tc>
        <w:tc>
          <w:tcPr>
            <w:tcW w:w="1550" w:type="dxa"/>
            <w:shd w:val="clear" w:color="auto" w:fill="auto"/>
          </w:tcPr>
          <w:p w14:paraId="6A9912AD">
            <w:pPr>
              <w:snapToGrid w:val="0"/>
              <w:spacing w:line="420" w:lineRule="exact"/>
              <w:jc w:val="left"/>
              <w:rPr>
                <w:color w:val="000000"/>
                <w:sz w:val="24"/>
                <w:szCs w:val="24"/>
              </w:rPr>
            </w:pPr>
            <w:r>
              <w:rPr>
                <w:rFonts w:hint="eastAsia" w:ascii="Arial" w:hAnsi="Arial" w:cs="Arial"/>
                <w:color w:val="000000"/>
                <w:sz w:val="18"/>
                <w:szCs w:val="18"/>
              </w:rPr>
              <w:t>HW17等</w:t>
            </w:r>
          </w:p>
        </w:tc>
        <w:tc>
          <w:tcPr>
            <w:tcW w:w="750" w:type="dxa"/>
            <w:shd w:val="clear" w:color="auto" w:fill="auto"/>
            <w:vAlign w:val="center"/>
          </w:tcPr>
          <w:p w14:paraId="4FEA2FD5">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05BDFFF9">
            <w:pPr>
              <w:snapToGrid w:val="0"/>
              <w:spacing w:line="420" w:lineRule="exact"/>
              <w:jc w:val="center"/>
              <w:rPr>
                <w:color w:val="000000"/>
                <w:sz w:val="24"/>
                <w:szCs w:val="24"/>
              </w:rPr>
            </w:pPr>
            <w:r>
              <w:rPr>
                <w:rFonts w:hint="eastAsia"/>
                <w:color w:val="000000"/>
                <w:sz w:val="24"/>
                <w:szCs w:val="24"/>
              </w:rPr>
              <w:t>R</w:t>
            </w:r>
          </w:p>
        </w:tc>
        <w:tc>
          <w:tcPr>
            <w:tcW w:w="725" w:type="dxa"/>
            <w:shd w:val="clear" w:color="auto" w:fill="auto"/>
            <w:vAlign w:val="center"/>
          </w:tcPr>
          <w:p w14:paraId="3CB98012">
            <w:pPr>
              <w:snapToGrid w:val="0"/>
              <w:spacing w:line="420" w:lineRule="exact"/>
              <w:jc w:val="center"/>
              <w:rPr>
                <w:color w:val="000000"/>
                <w:sz w:val="24"/>
                <w:szCs w:val="24"/>
              </w:rPr>
            </w:pPr>
            <w:r>
              <w:rPr>
                <w:rFonts w:hint="eastAsia"/>
                <w:color w:val="000000"/>
                <w:sz w:val="24"/>
                <w:szCs w:val="24"/>
              </w:rPr>
              <w:t>R</w:t>
            </w:r>
          </w:p>
        </w:tc>
        <w:tc>
          <w:tcPr>
            <w:tcW w:w="850" w:type="dxa"/>
            <w:shd w:val="clear" w:color="auto" w:fill="auto"/>
            <w:vAlign w:val="center"/>
          </w:tcPr>
          <w:p w14:paraId="3F78283E">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1B2F1456">
            <w:pPr>
              <w:snapToGrid w:val="0"/>
              <w:spacing w:line="420" w:lineRule="exact"/>
              <w:jc w:val="center"/>
              <w:rPr>
                <w:color w:val="000000"/>
                <w:sz w:val="24"/>
                <w:szCs w:val="24"/>
              </w:rPr>
            </w:pPr>
            <w:r>
              <w:rPr>
                <w:rFonts w:hint="eastAsia"/>
                <w:color w:val="000000"/>
                <w:sz w:val="24"/>
                <w:szCs w:val="24"/>
              </w:rPr>
              <w:t>R</w:t>
            </w:r>
          </w:p>
        </w:tc>
        <w:tc>
          <w:tcPr>
            <w:tcW w:w="937" w:type="dxa"/>
            <w:shd w:val="clear" w:color="auto" w:fill="auto"/>
            <w:vAlign w:val="center"/>
          </w:tcPr>
          <w:p w14:paraId="2C34033E">
            <w:pPr>
              <w:snapToGrid w:val="0"/>
              <w:spacing w:line="420" w:lineRule="exact"/>
              <w:jc w:val="center"/>
              <w:rPr>
                <w:color w:val="000000"/>
                <w:sz w:val="24"/>
                <w:szCs w:val="24"/>
              </w:rPr>
            </w:pPr>
            <w:r>
              <w:rPr>
                <w:rFonts w:hint="eastAsia"/>
                <w:color w:val="000000"/>
                <w:sz w:val="24"/>
                <w:szCs w:val="24"/>
              </w:rPr>
              <w:t>O</w:t>
            </w:r>
          </w:p>
        </w:tc>
        <w:tc>
          <w:tcPr>
            <w:tcW w:w="700" w:type="dxa"/>
            <w:shd w:val="clear" w:color="auto" w:fill="auto"/>
            <w:vAlign w:val="center"/>
          </w:tcPr>
          <w:p w14:paraId="3429A75F">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5C8DBB95">
            <w:pPr>
              <w:snapToGrid w:val="0"/>
              <w:spacing w:line="420" w:lineRule="exact"/>
              <w:jc w:val="center"/>
              <w:rPr>
                <w:color w:val="000000"/>
                <w:sz w:val="24"/>
                <w:szCs w:val="24"/>
              </w:rPr>
            </w:pPr>
            <w:r>
              <w:rPr>
                <w:rFonts w:hint="eastAsia"/>
                <w:color w:val="000000"/>
                <w:sz w:val="24"/>
                <w:szCs w:val="24"/>
              </w:rPr>
              <w:t>O</w:t>
            </w:r>
          </w:p>
        </w:tc>
      </w:tr>
      <w:tr w14:paraId="76AD7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74281814">
            <w:pPr>
              <w:snapToGrid w:val="0"/>
              <w:jc w:val="left"/>
              <w:rPr>
                <w:color w:val="000000"/>
              </w:rPr>
            </w:pPr>
            <w:r>
              <w:rPr>
                <w:rFonts w:hint="eastAsia"/>
                <w:color w:val="000000"/>
              </w:rPr>
              <w:t>混合有机化合物</w:t>
            </w:r>
          </w:p>
        </w:tc>
        <w:tc>
          <w:tcPr>
            <w:tcW w:w="1550" w:type="dxa"/>
            <w:shd w:val="clear" w:color="auto" w:fill="auto"/>
          </w:tcPr>
          <w:p w14:paraId="17FFACA8">
            <w:pPr>
              <w:snapToGrid w:val="0"/>
              <w:spacing w:line="420" w:lineRule="exact"/>
              <w:ind w:right="-91"/>
              <w:jc w:val="left"/>
              <w:rPr>
                <w:color w:val="000000"/>
                <w:sz w:val="24"/>
                <w:szCs w:val="24"/>
              </w:rPr>
            </w:pPr>
            <w:r>
              <w:rPr>
                <w:rFonts w:hint="eastAsia" w:ascii="Arial" w:hAnsi="Arial" w:cs="Arial"/>
                <w:color w:val="000000"/>
                <w:sz w:val="18"/>
                <w:szCs w:val="18"/>
              </w:rPr>
              <w:t>HW08、HW42等</w:t>
            </w:r>
          </w:p>
        </w:tc>
        <w:tc>
          <w:tcPr>
            <w:tcW w:w="750" w:type="dxa"/>
            <w:shd w:val="clear" w:color="auto" w:fill="auto"/>
            <w:vAlign w:val="center"/>
          </w:tcPr>
          <w:p w14:paraId="4877182A">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78126F49">
            <w:pPr>
              <w:snapToGrid w:val="0"/>
              <w:spacing w:line="420" w:lineRule="exact"/>
              <w:jc w:val="center"/>
              <w:rPr>
                <w:color w:val="000000"/>
                <w:sz w:val="24"/>
                <w:szCs w:val="24"/>
              </w:rPr>
            </w:pPr>
            <w:r>
              <w:rPr>
                <w:rFonts w:hint="eastAsia"/>
                <w:color w:val="000000"/>
                <w:sz w:val="24"/>
                <w:szCs w:val="24"/>
              </w:rPr>
              <w:t xml:space="preserve">N </w:t>
            </w:r>
          </w:p>
        </w:tc>
        <w:tc>
          <w:tcPr>
            <w:tcW w:w="725" w:type="dxa"/>
            <w:shd w:val="clear" w:color="auto" w:fill="auto"/>
            <w:vAlign w:val="center"/>
          </w:tcPr>
          <w:p w14:paraId="0601B829">
            <w:pPr>
              <w:snapToGrid w:val="0"/>
              <w:spacing w:line="420" w:lineRule="exact"/>
              <w:jc w:val="center"/>
              <w:rPr>
                <w:color w:val="000000"/>
                <w:sz w:val="24"/>
                <w:szCs w:val="24"/>
              </w:rPr>
            </w:pPr>
            <w:r>
              <w:rPr>
                <w:rFonts w:hint="eastAsia"/>
                <w:color w:val="000000"/>
                <w:sz w:val="24"/>
                <w:szCs w:val="24"/>
              </w:rPr>
              <w:t xml:space="preserve">N </w:t>
            </w:r>
          </w:p>
        </w:tc>
        <w:tc>
          <w:tcPr>
            <w:tcW w:w="850" w:type="dxa"/>
            <w:shd w:val="clear" w:color="auto" w:fill="auto"/>
            <w:vAlign w:val="center"/>
          </w:tcPr>
          <w:p w14:paraId="35B7CD1A">
            <w:pPr>
              <w:snapToGrid w:val="0"/>
              <w:spacing w:line="420" w:lineRule="exact"/>
              <w:jc w:val="center"/>
              <w:rPr>
                <w:color w:val="000000"/>
                <w:sz w:val="24"/>
                <w:szCs w:val="24"/>
              </w:rPr>
            </w:pPr>
            <w:r>
              <w:rPr>
                <w:rFonts w:hint="eastAsia"/>
                <w:b/>
                <w:bCs/>
                <w:color w:val="000000"/>
                <w:sz w:val="24"/>
                <w:szCs w:val="24"/>
              </w:rPr>
              <w:t>A</w:t>
            </w:r>
          </w:p>
        </w:tc>
        <w:tc>
          <w:tcPr>
            <w:tcW w:w="800" w:type="dxa"/>
            <w:shd w:val="clear" w:color="auto" w:fill="auto"/>
            <w:vAlign w:val="center"/>
          </w:tcPr>
          <w:p w14:paraId="586AAFC9">
            <w:pPr>
              <w:snapToGrid w:val="0"/>
              <w:spacing w:line="420" w:lineRule="exact"/>
              <w:jc w:val="center"/>
              <w:rPr>
                <w:color w:val="000000"/>
                <w:sz w:val="24"/>
                <w:szCs w:val="24"/>
              </w:rPr>
            </w:pPr>
            <w:r>
              <w:rPr>
                <w:rFonts w:hint="eastAsia"/>
                <w:color w:val="000000"/>
                <w:sz w:val="24"/>
                <w:szCs w:val="24"/>
              </w:rPr>
              <w:t>R</w:t>
            </w:r>
          </w:p>
        </w:tc>
        <w:tc>
          <w:tcPr>
            <w:tcW w:w="937" w:type="dxa"/>
            <w:shd w:val="clear" w:color="auto" w:fill="auto"/>
            <w:vAlign w:val="center"/>
          </w:tcPr>
          <w:p w14:paraId="52AC7D6C">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480EC074">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30A19DB8">
            <w:pPr>
              <w:snapToGrid w:val="0"/>
              <w:spacing w:line="420" w:lineRule="exact"/>
              <w:jc w:val="center"/>
              <w:rPr>
                <w:color w:val="000000"/>
                <w:sz w:val="24"/>
                <w:szCs w:val="24"/>
              </w:rPr>
            </w:pPr>
            <w:r>
              <w:rPr>
                <w:rFonts w:hint="eastAsia"/>
                <w:color w:val="000000"/>
                <w:sz w:val="24"/>
                <w:szCs w:val="24"/>
              </w:rPr>
              <w:t>R</w:t>
            </w:r>
          </w:p>
        </w:tc>
      </w:tr>
      <w:tr w14:paraId="34E99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37D1D3FD">
            <w:pPr>
              <w:snapToGrid w:val="0"/>
              <w:jc w:val="left"/>
              <w:rPr>
                <w:color w:val="000000"/>
              </w:rPr>
            </w:pPr>
            <w:r>
              <w:rPr>
                <w:rFonts w:hint="eastAsia"/>
                <w:color w:val="000000"/>
              </w:rPr>
              <w:t>有机淤泥</w:t>
            </w:r>
          </w:p>
        </w:tc>
        <w:tc>
          <w:tcPr>
            <w:tcW w:w="1550" w:type="dxa"/>
            <w:shd w:val="clear" w:color="auto" w:fill="auto"/>
          </w:tcPr>
          <w:p w14:paraId="383E94D7">
            <w:pPr>
              <w:snapToGrid w:val="0"/>
              <w:spacing w:line="420" w:lineRule="exact"/>
              <w:jc w:val="left"/>
              <w:rPr>
                <w:color w:val="000000"/>
                <w:sz w:val="24"/>
                <w:szCs w:val="24"/>
              </w:rPr>
            </w:pPr>
            <w:r>
              <w:rPr>
                <w:rFonts w:hint="eastAsia" w:ascii="Arial" w:hAnsi="Arial" w:cs="Arial"/>
                <w:color w:val="000000"/>
                <w:sz w:val="18"/>
                <w:szCs w:val="18"/>
              </w:rPr>
              <w:t>HW08、HW12、HW42等</w:t>
            </w:r>
          </w:p>
        </w:tc>
        <w:tc>
          <w:tcPr>
            <w:tcW w:w="750" w:type="dxa"/>
            <w:shd w:val="clear" w:color="auto" w:fill="auto"/>
            <w:vAlign w:val="center"/>
          </w:tcPr>
          <w:p w14:paraId="046E39E4">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51C801D7">
            <w:pPr>
              <w:snapToGrid w:val="0"/>
              <w:spacing w:line="420" w:lineRule="exact"/>
              <w:jc w:val="center"/>
              <w:rPr>
                <w:color w:val="000000"/>
                <w:sz w:val="24"/>
                <w:szCs w:val="24"/>
              </w:rPr>
            </w:pPr>
            <w:r>
              <w:rPr>
                <w:rFonts w:hint="eastAsia"/>
                <w:color w:val="000000"/>
                <w:sz w:val="24"/>
                <w:szCs w:val="24"/>
              </w:rPr>
              <w:t xml:space="preserve">N </w:t>
            </w:r>
          </w:p>
        </w:tc>
        <w:tc>
          <w:tcPr>
            <w:tcW w:w="725" w:type="dxa"/>
            <w:shd w:val="clear" w:color="auto" w:fill="auto"/>
            <w:vAlign w:val="center"/>
          </w:tcPr>
          <w:p w14:paraId="7A1AFEF7">
            <w:pPr>
              <w:snapToGrid w:val="0"/>
              <w:spacing w:line="420" w:lineRule="exact"/>
              <w:jc w:val="center"/>
              <w:rPr>
                <w:color w:val="000000"/>
                <w:sz w:val="24"/>
                <w:szCs w:val="24"/>
              </w:rPr>
            </w:pPr>
            <w:r>
              <w:rPr>
                <w:rFonts w:hint="eastAsia"/>
                <w:color w:val="000000"/>
                <w:sz w:val="24"/>
                <w:szCs w:val="24"/>
              </w:rPr>
              <w:t xml:space="preserve">N </w:t>
            </w:r>
          </w:p>
        </w:tc>
        <w:tc>
          <w:tcPr>
            <w:tcW w:w="850" w:type="dxa"/>
            <w:shd w:val="clear" w:color="auto" w:fill="auto"/>
            <w:vAlign w:val="center"/>
          </w:tcPr>
          <w:p w14:paraId="6091AB3D">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780932F8">
            <w:pPr>
              <w:snapToGrid w:val="0"/>
              <w:spacing w:line="420" w:lineRule="exact"/>
              <w:jc w:val="center"/>
              <w:rPr>
                <w:color w:val="000000"/>
                <w:sz w:val="24"/>
                <w:szCs w:val="24"/>
              </w:rPr>
            </w:pPr>
            <w:r>
              <w:rPr>
                <w:rFonts w:hint="eastAsia"/>
                <w:color w:val="000000"/>
                <w:sz w:val="24"/>
                <w:szCs w:val="24"/>
              </w:rPr>
              <w:t>R</w:t>
            </w:r>
          </w:p>
        </w:tc>
        <w:tc>
          <w:tcPr>
            <w:tcW w:w="937" w:type="dxa"/>
            <w:shd w:val="clear" w:color="auto" w:fill="auto"/>
            <w:vAlign w:val="center"/>
          </w:tcPr>
          <w:p w14:paraId="7B8ABE69">
            <w:pPr>
              <w:snapToGrid w:val="0"/>
              <w:spacing w:line="420" w:lineRule="exact"/>
              <w:jc w:val="center"/>
              <w:rPr>
                <w:color w:val="000000"/>
                <w:sz w:val="24"/>
                <w:szCs w:val="24"/>
              </w:rPr>
            </w:pPr>
            <w:r>
              <w:rPr>
                <w:rFonts w:hint="eastAsia"/>
                <w:color w:val="000000"/>
                <w:sz w:val="24"/>
                <w:szCs w:val="24"/>
              </w:rPr>
              <w:t>O</w:t>
            </w:r>
          </w:p>
        </w:tc>
        <w:tc>
          <w:tcPr>
            <w:tcW w:w="700" w:type="dxa"/>
            <w:shd w:val="clear" w:color="auto" w:fill="auto"/>
            <w:vAlign w:val="center"/>
          </w:tcPr>
          <w:p w14:paraId="604A5FEA">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1AB443D5">
            <w:pPr>
              <w:snapToGrid w:val="0"/>
              <w:spacing w:line="420" w:lineRule="exact"/>
              <w:jc w:val="center"/>
              <w:rPr>
                <w:color w:val="000000"/>
                <w:sz w:val="24"/>
                <w:szCs w:val="24"/>
              </w:rPr>
            </w:pPr>
            <w:r>
              <w:rPr>
                <w:rFonts w:hint="eastAsia"/>
                <w:color w:val="000000"/>
                <w:sz w:val="24"/>
                <w:szCs w:val="24"/>
              </w:rPr>
              <w:t>O</w:t>
            </w:r>
          </w:p>
        </w:tc>
      </w:tr>
      <w:tr w14:paraId="6ADB9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4748CC66">
            <w:pPr>
              <w:snapToGrid w:val="0"/>
              <w:jc w:val="left"/>
              <w:rPr>
                <w:color w:val="000000"/>
              </w:rPr>
            </w:pPr>
            <w:r>
              <w:rPr>
                <w:rFonts w:hint="eastAsia"/>
                <w:color w:val="000000"/>
              </w:rPr>
              <w:t>废油漆</w:t>
            </w:r>
          </w:p>
        </w:tc>
        <w:tc>
          <w:tcPr>
            <w:tcW w:w="1550" w:type="dxa"/>
            <w:shd w:val="clear" w:color="auto" w:fill="auto"/>
          </w:tcPr>
          <w:p w14:paraId="24566F32">
            <w:pPr>
              <w:snapToGrid w:val="0"/>
              <w:spacing w:line="420" w:lineRule="exact"/>
              <w:jc w:val="left"/>
              <w:rPr>
                <w:color w:val="000000"/>
                <w:sz w:val="24"/>
                <w:szCs w:val="24"/>
              </w:rPr>
            </w:pPr>
            <w:r>
              <w:rPr>
                <w:rFonts w:hint="eastAsia" w:ascii="Arial" w:hAnsi="Arial" w:cs="Arial"/>
                <w:color w:val="000000"/>
                <w:sz w:val="18"/>
                <w:szCs w:val="18"/>
              </w:rPr>
              <w:t>HW12</w:t>
            </w:r>
          </w:p>
        </w:tc>
        <w:tc>
          <w:tcPr>
            <w:tcW w:w="750" w:type="dxa"/>
            <w:shd w:val="clear" w:color="auto" w:fill="auto"/>
            <w:vAlign w:val="center"/>
          </w:tcPr>
          <w:p w14:paraId="1720B852">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75A19FFE">
            <w:pPr>
              <w:snapToGrid w:val="0"/>
              <w:spacing w:line="420" w:lineRule="exact"/>
              <w:jc w:val="center"/>
              <w:rPr>
                <w:color w:val="000000"/>
                <w:sz w:val="24"/>
                <w:szCs w:val="24"/>
              </w:rPr>
            </w:pPr>
            <w:r>
              <w:rPr>
                <w:rFonts w:hint="eastAsia"/>
                <w:color w:val="000000"/>
                <w:sz w:val="24"/>
                <w:szCs w:val="24"/>
              </w:rPr>
              <w:t xml:space="preserve">N </w:t>
            </w:r>
          </w:p>
        </w:tc>
        <w:tc>
          <w:tcPr>
            <w:tcW w:w="725" w:type="dxa"/>
            <w:shd w:val="clear" w:color="auto" w:fill="auto"/>
            <w:vAlign w:val="center"/>
          </w:tcPr>
          <w:p w14:paraId="6019BACB">
            <w:pPr>
              <w:snapToGrid w:val="0"/>
              <w:spacing w:line="420" w:lineRule="exact"/>
              <w:jc w:val="center"/>
              <w:rPr>
                <w:color w:val="000000"/>
                <w:sz w:val="24"/>
                <w:szCs w:val="24"/>
              </w:rPr>
            </w:pPr>
            <w:r>
              <w:rPr>
                <w:rFonts w:hint="eastAsia"/>
                <w:color w:val="000000"/>
                <w:sz w:val="24"/>
                <w:szCs w:val="24"/>
              </w:rPr>
              <w:t xml:space="preserve">N </w:t>
            </w:r>
          </w:p>
        </w:tc>
        <w:tc>
          <w:tcPr>
            <w:tcW w:w="850" w:type="dxa"/>
            <w:shd w:val="clear" w:color="auto" w:fill="auto"/>
            <w:vAlign w:val="center"/>
          </w:tcPr>
          <w:p w14:paraId="17F3BE87">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674911ED">
            <w:pPr>
              <w:snapToGrid w:val="0"/>
              <w:spacing w:line="420" w:lineRule="exact"/>
              <w:jc w:val="center"/>
              <w:rPr>
                <w:color w:val="000000"/>
                <w:sz w:val="24"/>
                <w:szCs w:val="24"/>
              </w:rPr>
            </w:pPr>
            <w:r>
              <w:rPr>
                <w:rFonts w:hint="eastAsia"/>
                <w:color w:val="000000"/>
                <w:sz w:val="24"/>
                <w:szCs w:val="24"/>
              </w:rPr>
              <w:t>R</w:t>
            </w:r>
          </w:p>
        </w:tc>
        <w:tc>
          <w:tcPr>
            <w:tcW w:w="937" w:type="dxa"/>
            <w:shd w:val="clear" w:color="auto" w:fill="auto"/>
            <w:vAlign w:val="center"/>
          </w:tcPr>
          <w:p w14:paraId="2DAFD993">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76DEFF4E">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5A32C464">
            <w:pPr>
              <w:snapToGrid w:val="0"/>
              <w:spacing w:line="420" w:lineRule="exact"/>
              <w:jc w:val="center"/>
              <w:rPr>
                <w:color w:val="000000"/>
                <w:sz w:val="24"/>
                <w:szCs w:val="24"/>
              </w:rPr>
            </w:pPr>
            <w:r>
              <w:rPr>
                <w:rFonts w:hint="eastAsia"/>
                <w:color w:val="000000"/>
                <w:sz w:val="24"/>
                <w:szCs w:val="24"/>
              </w:rPr>
              <w:t>R</w:t>
            </w:r>
          </w:p>
        </w:tc>
      </w:tr>
      <w:tr w14:paraId="314CB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7A617848">
            <w:pPr>
              <w:snapToGrid w:val="0"/>
              <w:jc w:val="left"/>
              <w:rPr>
                <w:color w:val="000000"/>
              </w:rPr>
            </w:pPr>
            <w:r>
              <w:rPr>
                <w:rFonts w:ascii="Arial" w:cs="Arial"/>
                <w:color w:val="000000"/>
              </w:rPr>
              <w:t>聚合前驱物及产生的废物</w:t>
            </w:r>
          </w:p>
        </w:tc>
        <w:tc>
          <w:tcPr>
            <w:tcW w:w="1550" w:type="dxa"/>
            <w:shd w:val="clear" w:color="auto" w:fill="auto"/>
          </w:tcPr>
          <w:p w14:paraId="1E0CBA8D">
            <w:pPr>
              <w:snapToGrid w:val="0"/>
              <w:spacing w:line="420" w:lineRule="exact"/>
              <w:jc w:val="left"/>
              <w:rPr>
                <w:color w:val="000000"/>
                <w:sz w:val="24"/>
                <w:szCs w:val="24"/>
              </w:rPr>
            </w:pPr>
            <w:r>
              <w:rPr>
                <w:rFonts w:hint="eastAsia" w:ascii="Arial" w:hAnsi="Arial" w:cs="Arial"/>
                <w:color w:val="000000"/>
                <w:sz w:val="18"/>
                <w:szCs w:val="18"/>
              </w:rPr>
              <w:t>HW06等</w:t>
            </w:r>
          </w:p>
        </w:tc>
        <w:tc>
          <w:tcPr>
            <w:tcW w:w="750" w:type="dxa"/>
            <w:shd w:val="clear" w:color="auto" w:fill="auto"/>
            <w:vAlign w:val="center"/>
          </w:tcPr>
          <w:p w14:paraId="6F3009A9">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61646FA0">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25" w:type="dxa"/>
            <w:shd w:val="clear" w:color="auto" w:fill="auto"/>
            <w:vAlign w:val="center"/>
          </w:tcPr>
          <w:p w14:paraId="60B9BA7C">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50" w:type="dxa"/>
            <w:shd w:val="clear" w:color="auto" w:fill="auto"/>
            <w:vAlign w:val="center"/>
          </w:tcPr>
          <w:p w14:paraId="5283CD8C">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765A2B8C">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674BE05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00" w:type="dxa"/>
            <w:shd w:val="clear" w:color="auto" w:fill="auto"/>
            <w:vAlign w:val="center"/>
          </w:tcPr>
          <w:p w14:paraId="255997D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00" w:type="dxa"/>
            <w:shd w:val="clear" w:color="auto" w:fill="auto"/>
            <w:vAlign w:val="center"/>
          </w:tcPr>
          <w:p w14:paraId="18AD0F5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r>
      <w:tr w14:paraId="0AD5B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03BD6124">
            <w:pPr>
              <w:snapToGrid w:val="0"/>
              <w:jc w:val="left"/>
              <w:rPr>
                <w:color w:val="000000"/>
              </w:rPr>
            </w:pPr>
            <w:r>
              <w:rPr>
                <w:rFonts w:hint="eastAsia"/>
                <w:color w:val="000000"/>
              </w:rPr>
              <w:t>皮革废物</w:t>
            </w:r>
            <w:r>
              <w:rPr>
                <w:rFonts w:ascii="Arial" w:cs="Arial"/>
                <w:color w:val="000000"/>
              </w:rPr>
              <w:t>（铬鞣溶剂）</w:t>
            </w:r>
          </w:p>
        </w:tc>
        <w:tc>
          <w:tcPr>
            <w:tcW w:w="1550" w:type="dxa"/>
            <w:shd w:val="clear" w:color="auto" w:fill="auto"/>
          </w:tcPr>
          <w:p w14:paraId="5AD206D3">
            <w:pPr>
              <w:snapToGrid w:val="0"/>
              <w:spacing w:line="420" w:lineRule="exact"/>
              <w:jc w:val="left"/>
              <w:rPr>
                <w:color w:val="000000"/>
                <w:sz w:val="24"/>
                <w:szCs w:val="24"/>
              </w:rPr>
            </w:pPr>
            <w:r>
              <w:rPr>
                <w:rFonts w:hint="eastAsia" w:ascii="Arial" w:hAnsi="Arial" w:cs="Arial"/>
                <w:color w:val="000000"/>
                <w:sz w:val="18"/>
                <w:szCs w:val="18"/>
              </w:rPr>
              <w:t>HW21</w:t>
            </w:r>
          </w:p>
        </w:tc>
        <w:tc>
          <w:tcPr>
            <w:tcW w:w="750" w:type="dxa"/>
            <w:shd w:val="clear" w:color="auto" w:fill="auto"/>
            <w:vAlign w:val="center"/>
          </w:tcPr>
          <w:p w14:paraId="4F6D3C38">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79585347">
            <w:pPr>
              <w:snapToGrid w:val="0"/>
              <w:spacing w:line="420" w:lineRule="exact"/>
              <w:jc w:val="center"/>
              <w:rPr>
                <w:color w:val="000000"/>
                <w:sz w:val="24"/>
                <w:szCs w:val="24"/>
              </w:rPr>
            </w:pPr>
            <w:r>
              <w:rPr>
                <w:rFonts w:hint="eastAsia"/>
                <w:color w:val="000000"/>
                <w:sz w:val="24"/>
                <w:szCs w:val="24"/>
              </w:rPr>
              <w:t>R</w:t>
            </w:r>
          </w:p>
        </w:tc>
        <w:tc>
          <w:tcPr>
            <w:tcW w:w="725" w:type="dxa"/>
            <w:shd w:val="clear" w:color="auto" w:fill="auto"/>
            <w:vAlign w:val="center"/>
          </w:tcPr>
          <w:p w14:paraId="14E1F2B3">
            <w:pPr>
              <w:snapToGrid w:val="0"/>
              <w:spacing w:line="420" w:lineRule="exact"/>
              <w:jc w:val="center"/>
              <w:rPr>
                <w:color w:val="000000"/>
                <w:sz w:val="24"/>
                <w:szCs w:val="24"/>
              </w:rPr>
            </w:pPr>
            <w:r>
              <w:rPr>
                <w:rFonts w:hint="eastAsia"/>
                <w:color w:val="000000"/>
                <w:sz w:val="24"/>
                <w:szCs w:val="24"/>
              </w:rPr>
              <w:t>R</w:t>
            </w:r>
          </w:p>
        </w:tc>
        <w:tc>
          <w:tcPr>
            <w:tcW w:w="850" w:type="dxa"/>
            <w:shd w:val="clear" w:color="auto" w:fill="auto"/>
            <w:vAlign w:val="center"/>
          </w:tcPr>
          <w:p w14:paraId="763072AE">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63E68E5B">
            <w:pPr>
              <w:snapToGrid w:val="0"/>
              <w:spacing w:line="420" w:lineRule="exact"/>
              <w:jc w:val="center"/>
              <w:rPr>
                <w:color w:val="000000"/>
                <w:sz w:val="24"/>
                <w:szCs w:val="24"/>
              </w:rPr>
            </w:pPr>
            <w:r>
              <w:rPr>
                <w:rFonts w:hint="eastAsia"/>
                <w:color w:val="000000"/>
                <w:sz w:val="24"/>
                <w:szCs w:val="24"/>
              </w:rPr>
              <w:t xml:space="preserve">N </w:t>
            </w:r>
          </w:p>
        </w:tc>
        <w:tc>
          <w:tcPr>
            <w:tcW w:w="937" w:type="dxa"/>
            <w:shd w:val="clear" w:color="auto" w:fill="auto"/>
            <w:vAlign w:val="center"/>
          </w:tcPr>
          <w:p w14:paraId="68B79A89">
            <w:pPr>
              <w:snapToGrid w:val="0"/>
              <w:spacing w:line="420" w:lineRule="exact"/>
              <w:jc w:val="center"/>
              <w:rPr>
                <w:color w:val="000000"/>
                <w:sz w:val="24"/>
                <w:szCs w:val="24"/>
              </w:rPr>
            </w:pPr>
            <w:r>
              <w:rPr>
                <w:rFonts w:hint="eastAsia"/>
                <w:color w:val="000000"/>
                <w:sz w:val="24"/>
                <w:szCs w:val="24"/>
              </w:rPr>
              <w:t>O</w:t>
            </w:r>
          </w:p>
        </w:tc>
        <w:tc>
          <w:tcPr>
            <w:tcW w:w="700" w:type="dxa"/>
            <w:shd w:val="clear" w:color="auto" w:fill="auto"/>
            <w:vAlign w:val="center"/>
          </w:tcPr>
          <w:p w14:paraId="55E2D825">
            <w:pPr>
              <w:snapToGrid w:val="0"/>
              <w:spacing w:line="420" w:lineRule="exact"/>
              <w:jc w:val="center"/>
              <w:rPr>
                <w:color w:val="000000"/>
                <w:sz w:val="24"/>
                <w:szCs w:val="24"/>
              </w:rPr>
            </w:pPr>
            <w:r>
              <w:rPr>
                <w:rFonts w:hint="eastAsia"/>
                <w:color w:val="000000"/>
                <w:sz w:val="24"/>
                <w:szCs w:val="24"/>
              </w:rPr>
              <w:t>R</w:t>
            </w:r>
          </w:p>
        </w:tc>
        <w:tc>
          <w:tcPr>
            <w:tcW w:w="800" w:type="dxa"/>
            <w:shd w:val="clear" w:color="auto" w:fill="auto"/>
            <w:vAlign w:val="center"/>
          </w:tcPr>
          <w:p w14:paraId="50C44922">
            <w:pPr>
              <w:snapToGrid w:val="0"/>
              <w:spacing w:line="420" w:lineRule="exact"/>
              <w:jc w:val="center"/>
              <w:rPr>
                <w:color w:val="000000"/>
                <w:sz w:val="24"/>
                <w:szCs w:val="24"/>
              </w:rPr>
            </w:pPr>
            <w:r>
              <w:rPr>
                <w:rFonts w:hint="eastAsia"/>
                <w:color w:val="000000"/>
                <w:sz w:val="24"/>
                <w:szCs w:val="24"/>
              </w:rPr>
              <w:t>O</w:t>
            </w:r>
          </w:p>
        </w:tc>
      </w:tr>
      <w:tr w14:paraId="2210E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shd w:val="clear" w:color="auto" w:fill="auto"/>
          </w:tcPr>
          <w:p w14:paraId="0F065E04">
            <w:pPr>
              <w:snapToGrid w:val="0"/>
              <w:jc w:val="left"/>
              <w:rPr>
                <w:color w:val="000000"/>
              </w:rPr>
            </w:pPr>
            <w:r>
              <w:rPr>
                <w:rFonts w:hint="eastAsia"/>
                <w:color w:val="000000"/>
              </w:rPr>
              <w:t>废催化剂</w:t>
            </w:r>
          </w:p>
        </w:tc>
        <w:tc>
          <w:tcPr>
            <w:tcW w:w="1550" w:type="dxa"/>
            <w:shd w:val="clear" w:color="auto" w:fill="auto"/>
          </w:tcPr>
          <w:p w14:paraId="786DBB3D">
            <w:pPr>
              <w:snapToGrid w:val="0"/>
              <w:spacing w:line="420" w:lineRule="exact"/>
              <w:ind w:right="-91"/>
              <w:jc w:val="left"/>
              <w:rPr>
                <w:color w:val="000000"/>
                <w:sz w:val="24"/>
                <w:szCs w:val="24"/>
              </w:rPr>
            </w:pPr>
            <w:r>
              <w:rPr>
                <w:rFonts w:hint="eastAsia" w:ascii="Arial" w:hAnsi="Arial" w:cs="Arial"/>
                <w:color w:val="000000"/>
                <w:sz w:val="18"/>
                <w:szCs w:val="18"/>
              </w:rPr>
              <w:t>HW06、HW46等</w:t>
            </w:r>
          </w:p>
        </w:tc>
        <w:tc>
          <w:tcPr>
            <w:tcW w:w="750" w:type="dxa"/>
            <w:shd w:val="clear" w:color="auto" w:fill="auto"/>
            <w:vAlign w:val="center"/>
          </w:tcPr>
          <w:p w14:paraId="21C8CB76">
            <w:pPr>
              <w:snapToGrid w:val="0"/>
              <w:spacing w:line="420" w:lineRule="exact"/>
              <w:jc w:val="center"/>
              <w:rPr>
                <w:color w:val="000000"/>
                <w:sz w:val="24"/>
                <w:szCs w:val="24"/>
              </w:rPr>
            </w:pPr>
            <w:r>
              <w:rPr>
                <w:rFonts w:hint="eastAsia"/>
                <w:color w:val="000000"/>
                <w:sz w:val="24"/>
                <w:szCs w:val="24"/>
              </w:rPr>
              <w:t>R</w:t>
            </w:r>
          </w:p>
        </w:tc>
        <w:tc>
          <w:tcPr>
            <w:tcW w:w="700" w:type="dxa"/>
            <w:shd w:val="clear" w:color="auto" w:fill="auto"/>
            <w:vAlign w:val="center"/>
          </w:tcPr>
          <w:p w14:paraId="703BCDCE">
            <w:pPr>
              <w:snapToGrid w:val="0"/>
              <w:spacing w:line="420" w:lineRule="exact"/>
              <w:jc w:val="center"/>
              <w:rPr>
                <w:color w:val="000000"/>
                <w:sz w:val="24"/>
                <w:szCs w:val="24"/>
              </w:rPr>
            </w:pPr>
            <w:r>
              <w:rPr>
                <w:rFonts w:hint="eastAsia"/>
                <w:color w:val="000000"/>
                <w:sz w:val="24"/>
                <w:szCs w:val="24"/>
              </w:rPr>
              <w:t>O</w:t>
            </w:r>
          </w:p>
        </w:tc>
        <w:tc>
          <w:tcPr>
            <w:tcW w:w="725" w:type="dxa"/>
            <w:shd w:val="clear" w:color="auto" w:fill="auto"/>
            <w:vAlign w:val="center"/>
          </w:tcPr>
          <w:p w14:paraId="5DBC768E">
            <w:pPr>
              <w:snapToGrid w:val="0"/>
              <w:spacing w:line="420" w:lineRule="exact"/>
              <w:jc w:val="center"/>
              <w:rPr>
                <w:color w:val="000000"/>
                <w:sz w:val="24"/>
                <w:szCs w:val="24"/>
              </w:rPr>
            </w:pPr>
            <w:r>
              <w:rPr>
                <w:rFonts w:hint="eastAsia"/>
                <w:color w:val="000000"/>
                <w:sz w:val="24"/>
                <w:szCs w:val="24"/>
              </w:rPr>
              <w:t>O</w:t>
            </w:r>
          </w:p>
        </w:tc>
        <w:tc>
          <w:tcPr>
            <w:tcW w:w="850" w:type="dxa"/>
            <w:shd w:val="clear" w:color="auto" w:fill="auto"/>
            <w:vAlign w:val="center"/>
          </w:tcPr>
          <w:p w14:paraId="763C3A01">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00" w:type="dxa"/>
            <w:shd w:val="clear" w:color="auto" w:fill="auto"/>
            <w:vAlign w:val="center"/>
          </w:tcPr>
          <w:p w14:paraId="33D8243D">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37" w:type="dxa"/>
            <w:shd w:val="clear" w:color="auto" w:fill="auto"/>
            <w:vAlign w:val="center"/>
          </w:tcPr>
          <w:p w14:paraId="5D550DC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00" w:type="dxa"/>
            <w:shd w:val="clear" w:color="auto" w:fill="auto"/>
            <w:vAlign w:val="center"/>
          </w:tcPr>
          <w:p w14:paraId="6F3A7EEF">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00" w:type="dxa"/>
            <w:shd w:val="clear" w:color="auto" w:fill="auto"/>
            <w:vAlign w:val="center"/>
          </w:tcPr>
          <w:p w14:paraId="73EFFB2F">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r>
    </w:tbl>
    <w:p w14:paraId="5D309823">
      <w:pPr>
        <w:spacing w:line="480" w:lineRule="exact"/>
        <w:rPr>
          <w:rFonts w:ascii="楷体_GB2312" w:hAnsi="Times New Roman" w:eastAsia="楷体_GB2312" w:cs="楷体_GB2312"/>
          <w:b/>
          <w:bCs/>
          <w:sz w:val="28"/>
          <w:szCs w:val="28"/>
        </w:rPr>
      </w:pPr>
      <w:r>
        <w:rPr>
          <w:rFonts w:hint="eastAsia"/>
          <w:color w:val="000000"/>
          <w:sz w:val="24"/>
          <w:szCs w:val="24"/>
        </w:rPr>
        <w:t>说明：</w:t>
      </w:r>
      <w:r>
        <w:rPr>
          <w:rFonts w:hint="eastAsia"/>
          <w:b/>
          <w:bCs/>
          <w:color w:val="000000"/>
          <w:sz w:val="24"/>
          <w:szCs w:val="24"/>
        </w:rPr>
        <w:t xml:space="preserve">A </w:t>
      </w:r>
      <w:r>
        <w:rPr>
          <w:rFonts w:hint="eastAsia"/>
          <w:color w:val="000000"/>
          <w:sz w:val="24"/>
          <w:szCs w:val="24"/>
        </w:rPr>
        <w:t>可接受  N 不建议使用</w:t>
      </w:r>
      <w:r>
        <w:rPr>
          <w:rFonts w:hint="eastAsia"/>
          <w:b/>
          <w:bCs/>
          <w:color w:val="000000"/>
          <w:sz w:val="24"/>
          <w:szCs w:val="24"/>
        </w:rPr>
        <w:t xml:space="preserve">  R </w:t>
      </w:r>
      <w:r>
        <w:rPr>
          <w:rFonts w:hint="eastAsia"/>
          <w:color w:val="000000"/>
          <w:sz w:val="24"/>
          <w:szCs w:val="24"/>
        </w:rPr>
        <w:t>建议使用  O 需参考相关资料再确认。</w:t>
      </w:r>
      <w:r>
        <w:rPr>
          <w:rFonts w:ascii="仿宋_GB2312" w:hAnsi="Times New Roman" w:eastAsia="仿宋_GB2312" w:cs="仿宋_GB2312"/>
          <w:color w:val="000000"/>
          <w:sz w:val="28"/>
          <w:szCs w:val="28"/>
        </w:rPr>
        <w:t xml:space="preserve">  </w:t>
      </w:r>
      <w:r>
        <w:rPr>
          <w:rFonts w:ascii="仿宋_GB2312" w:hAnsi="Times New Roman" w:eastAsia="仿宋_GB2312" w:cs="仿宋_GB2312"/>
          <w:sz w:val="28"/>
          <w:szCs w:val="28"/>
        </w:rPr>
        <w:t xml:space="preserve"> </w:t>
      </w:r>
    </w:p>
    <w:p w14:paraId="5C24EB8E">
      <w:pPr>
        <w:spacing w:line="480" w:lineRule="exact"/>
        <w:rPr>
          <w:rFonts w:hint="eastAsia" w:ascii="楷体_GB2312" w:hAnsi="Times New Roman" w:eastAsia="楷体_GB2312" w:cs="楷体_GB2312"/>
          <w:b/>
          <w:bCs/>
          <w:sz w:val="28"/>
          <w:szCs w:val="28"/>
        </w:rPr>
      </w:pPr>
    </w:p>
    <w:p w14:paraId="1868CC85">
      <w:pPr>
        <w:spacing w:line="480" w:lineRule="exact"/>
        <w:rPr>
          <w:rFonts w:hint="eastAsia" w:ascii="楷体_GB2312" w:hAnsi="Times New Roman" w:eastAsia="楷体_GB2312" w:cs="楷体_GB2312"/>
          <w:b/>
          <w:bCs/>
          <w:sz w:val="28"/>
          <w:szCs w:val="28"/>
        </w:rPr>
      </w:pPr>
    </w:p>
    <w:p w14:paraId="1625ECEF">
      <w:pPr>
        <w:spacing w:line="480" w:lineRule="exact"/>
        <w:rPr>
          <w:rFonts w:hint="eastAsia" w:ascii="楷体_GB2312" w:hAnsi="Times New Roman" w:eastAsia="楷体_GB2312" w:cs="楷体_GB2312"/>
          <w:b/>
          <w:bCs/>
          <w:sz w:val="28"/>
          <w:szCs w:val="28"/>
        </w:rPr>
      </w:pPr>
    </w:p>
    <w:p w14:paraId="13C1D1D5">
      <w:pPr>
        <w:spacing w:line="480" w:lineRule="exact"/>
        <w:rPr>
          <w:rFonts w:hint="eastAsia" w:ascii="楷体_GB2312" w:hAnsi="Times New Roman" w:eastAsia="楷体_GB2312" w:cs="楷体_GB2312"/>
          <w:b/>
          <w:bCs/>
          <w:sz w:val="28"/>
          <w:szCs w:val="28"/>
        </w:rPr>
      </w:pPr>
    </w:p>
    <w:p w14:paraId="3E7BB10A">
      <w:pPr>
        <w:spacing w:line="480" w:lineRule="exact"/>
        <w:rPr>
          <w:rFonts w:hint="eastAsia" w:ascii="楷体_GB2312" w:hAnsi="Times New Roman" w:eastAsia="楷体_GB2312" w:cs="楷体_GB2312"/>
          <w:b/>
          <w:bCs/>
          <w:sz w:val="28"/>
          <w:szCs w:val="28"/>
        </w:rPr>
      </w:pPr>
    </w:p>
    <w:p w14:paraId="6F999E1A">
      <w:pPr>
        <w:spacing w:line="480" w:lineRule="exact"/>
        <w:rPr>
          <w:rFonts w:hint="eastAsia" w:ascii="楷体_GB2312" w:hAnsi="Times New Roman" w:eastAsia="楷体_GB2312" w:cs="楷体_GB2312"/>
          <w:b/>
          <w:bCs/>
          <w:sz w:val="28"/>
          <w:szCs w:val="28"/>
        </w:rPr>
      </w:pPr>
    </w:p>
    <w:p w14:paraId="7142F0F4">
      <w:pPr>
        <w:spacing w:line="480" w:lineRule="exact"/>
        <w:rPr>
          <w:rFonts w:hint="eastAsia" w:ascii="楷体_GB2312" w:hAnsi="Times New Roman" w:eastAsia="楷体_GB2312" w:cs="楷体_GB2312"/>
          <w:b/>
          <w:bCs/>
          <w:sz w:val="28"/>
          <w:szCs w:val="28"/>
        </w:rPr>
      </w:pPr>
    </w:p>
    <w:p w14:paraId="737E11DF">
      <w:pPr>
        <w:spacing w:line="480" w:lineRule="exact"/>
        <w:rPr>
          <w:rFonts w:hint="eastAsia" w:ascii="楷体_GB2312" w:hAnsi="Times New Roman" w:eastAsia="楷体_GB2312" w:cs="楷体_GB2312"/>
          <w:b/>
          <w:bCs/>
          <w:sz w:val="28"/>
          <w:szCs w:val="28"/>
        </w:rPr>
      </w:pPr>
    </w:p>
    <w:p w14:paraId="409B3224">
      <w:pPr>
        <w:spacing w:line="360" w:lineRule="auto"/>
        <w:jc w:val="left"/>
        <w:rPr>
          <w:rFonts w:ascii="宋体" w:hAnsi="宋体" w:cs="宋体"/>
          <w:sz w:val="24"/>
          <w:szCs w:val="24"/>
        </w:rPr>
      </w:pPr>
      <w:r>
        <w:rPr>
          <w:rFonts w:ascii="仿宋_GB2312" w:hAnsi="Times New Roman" w:eastAsia="仿宋_GB2312" w:cs="仿宋_GB2312"/>
          <w:sz w:val="28"/>
          <w:szCs w:val="28"/>
        </w:rPr>
        <w:t xml:space="preserve"> </w:t>
      </w:r>
      <w:r>
        <w:rPr>
          <w:rFonts w:hint="eastAsia" w:ascii="宋体" w:hAnsi="宋体" w:cs="宋体"/>
          <w:sz w:val="24"/>
          <w:szCs w:val="24"/>
        </w:rPr>
        <w:t xml:space="preserve">表二                 </w:t>
      </w:r>
      <w:r>
        <w:rPr>
          <w:rFonts w:hint="eastAsia" w:ascii="宋体" w:hAnsi="宋体" w:cs="宋体"/>
          <w:b/>
          <w:bCs/>
          <w:sz w:val="28"/>
          <w:szCs w:val="28"/>
        </w:rPr>
        <w:t xml:space="preserve"> 部分不相容的危险废物</w:t>
      </w:r>
    </w:p>
    <w:tbl>
      <w:tblPr>
        <w:tblStyle w:val="6"/>
        <w:tblpPr w:leftFromText="180" w:rightFromText="180" w:vertAnchor="text" w:horzAnchor="page" w:tblpX="1112" w:tblpY="254"/>
        <w:tblOverlap w:val="never"/>
        <w:tblW w:w="90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1"/>
        <w:gridCol w:w="2225"/>
        <w:gridCol w:w="4550"/>
      </w:tblGrid>
      <w:tr w14:paraId="44F95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6" w:type="dxa"/>
            <w:gridSpan w:val="2"/>
            <w:shd w:val="clear" w:color="auto" w:fill="auto"/>
            <w:vAlign w:val="center"/>
          </w:tcPr>
          <w:p w14:paraId="7E260318">
            <w:pPr>
              <w:snapToGrid w:val="0"/>
              <w:spacing w:line="420" w:lineRule="exact"/>
              <w:jc w:val="center"/>
              <w:rPr>
                <w:rFonts w:ascii="宋体" w:hAnsi="宋体" w:cs="宋体"/>
                <w:sz w:val="24"/>
                <w:szCs w:val="24"/>
              </w:rPr>
            </w:pPr>
            <w:r>
              <w:rPr>
                <w:rFonts w:hint="eastAsia" w:ascii="宋体" w:hAnsi="宋体" w:cs="宋体"/>
                <w:b/>
                <w:bCs/>
                <w:sz w:val="24"/>
                <w:szCs w:val="24"/>
              </w:rPr>
              <w:t>不相容危险废物</w:t>
            </w:r>
          </w:p>
        </w:tc>
        <w:tc>
          <w:tcPr>
            <w:tcW w:w="4550" w:type="dxa"/>
            <w:vMerge w:val="restart"/>
            <w:shd w:val="clear" w:color="auto" w:fill="auto"/>
            <w:vAlign w:val="center"/>
          </w:tcPr>
          <w:p w14:paraId="4164AEE7">
            <w:pPr>
              <w:snapToGrid w:val="0"/>
              <w:spacing w:line="420" w:lineRule="exact"/>
              <w:ind w:firstLine="723" w:firstLineChars="300"/>
              <w:jc w:val="left"/>
              <w:rPr>
                <w:rFonts w:ascii="宋体" w:hAnsi="宋体" w:cs="宋体"/>
                <w:sz w:val="24"/>
                <w:szCs w:val="24"/>
              </w:rPr>
            </w:pPr>
            <w:r>
              <w:rPr>
                <w:rFonts w:hint="eastAsia" w:ascii="宋体" w:hAnsi="宋体" w:cs="宋体"/>
                <w:b/>
                <w:bCs/>
                <w:sz w:val="24"/>
                <w:szCs w:val="24"/>
              </w:rPr>
              <w:t>混合时会产生的危险</w:t>
            </w:r>
          </w:p>
        </w:tc>
      </w:tr>
      <w:tr w14:paraId="59312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7379D930">
            <w:pPr>
              <w:snapToGrid w:val="0"/>
              <w:spacing w:line="420" w:lineRule="exact"/>
              <w:jc w:val="center"/>
              <w:rPr>
                <w:rFonts w:ascii="宋体" w:hAnsi="宋体" w:cs="宋体"/>
                <w:sz w:val="24"/>
                <w:szCs w:val="24"/>
              </w:rPr>
            </w:pPr>
            <w:r>
              <w:rPr>
                <w:rFonts w:hint="eastAsia" w:ascii="宋体" w:hAnsi="宋体" w:cs="宋体"/>
                <w:sz w:val="24"/>
                <w:szCs w:val="24"/>
              </w:rPr>
              <w:t>A</w:t>
            </w:r>
          </w:p>
        </w:tc>
        <w:tc>
          <w:tcPr>
            <w:tcW w:w="2225" w:type="dxa"/>
            <w:shd w:val="clear" w:color="auto" w:fill="auto"/>
            <w:vAlign w:val="center"/>
          </w:tcPr>
          <w:p w14:paraId="5431D468">
            <w:pPr>
              <w:snapToGrid w:val="0"/>
              <w:spacing w:line="420" w:lineRule="exact"/>
              <w:jc w:val="center"/>
              <w:rPr>
                <w:rFonts w:ascii="宋体" w:hAnsi="宋体" w:cs="宋体"/>
                <w:sz w:val="24"/>
                <w:szCs w:val="24"/>
              </w:rPr>
            </w:pPr>
            <w:r>
              <w:rPr>
                <w:rFonts w:hint="eastAsia" w:ascii="宋体" w:hAnsi="宋体" w:cs="宋体"/>
                <w:sz w:val="24"/>
                <w:szCs w:val="24"/>
              </w:rPr>
              <w:t>B</w:t>
            </w:r>
          </w:p>
        </w:tc>
        <w:tc>
          <w:tcPr>
            <w:tcW w:w="4550" w:type="dxa"/>
            <w:vMerge w:val="continue"/>
            <w:shd w:val="clear" w:color="auto" w:fill="auto"/>
            <w:vAlign w:val="center"/>
          </w:tcPr>
          <w:p w14:paraId="718E1B43">
            <w:pPr>
              <w:snapToGrid w:val="0"/>
              <w:spacing w:line="420" w:lineRule="exact"/>
              <w:jc w:val="left"/>
              <w:rPr>
                <w:rFonts w:ascii="宋体" w:hAnsi="宋体" w:cs="宋体"/>
                <w:sz w:val="24"/>
                <w:szCs w:val="24"/>
              </w:rPr>
            </w:pPr>
          </w:p>
        </w:tc>
      </w:tr>
      <w:tr w14:paraId="52F81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63B720F2">
            <w:pPr>
              <w:snapToGrid w:val="0"/>
              <w:spacing w:line="420" w:lineRule="exact"/>
              <w:jc w:val="center"/>
              <w:rPr>
                <w:rFonts w:ascii="宋体" w:hAnsi="宋体" w:cs="宋体"/>
                <w:sz w:val="24"/>
                <w:szCs w:val="24"/>
              </w:rPr>
            </w:pPr>
            <w:r>
              <w:rPr>
                <w:rFonts w:hint="eastAsia" w:ascii="宋体" w:hAnsi="宋体" w:cs="宋体"/>
                <w:sz w:val="24"/>
                <w:szCs w:val="24"/>
              </w:rPr>
              <w:t>氰化物</w:t>
            </w:r>
          </w:p>
        </w:tc>
        <w:tc>
          <w:tcPr>
            <w:tcW w:w="2225" w:type="dxa"/>
            <w:shd w:val="clear" w:color="auto" w:fill="auto"/>
            <w:vAlign w:val="center"/>
          </w:tcPr>
          <w:p w14:paraId="7CA46E84">
            <w:pPr>
              <w:snapToGrid w:val="0"/>
              <w:spacing w:line="420" w:lineRule="exact"/>
              <w:jc w:val="center"/>
              <w:rPr>
                <w:rFonts w:ascii="宋体" w:hAnsi="宋体" w:cs="宋体"/>
                <w:sz w:val="24"/>
                <w:szCs w:val="24"/>
              </w:rPr>
            </w:pPr>
            <w:r>
              <w:rPr>
                <w:rFonts w:hint="eastAsia" w:ascii="宋体" w:hAnsi="宋体" w:cs="宋体"/>
                <w:sz w:val="24"/>
                <w:szCs w:val="24"/>
              </w:rPr>
              <w:t>酸类、非氧化</w:t>
            </w:r>
          </w:p>
        </w:tc>
        <w:tc>
          <w:tcPr>
            <w:tcW w:w="4550" w:type="dxa"/>
            <w:shd w:val="clear" w:color="auto" w:fill="auto"/>
            <w:vAlign w:val="center"/>
          </w:tcPr>
          <w:p w14:paraId="7BA1B258">
            <w:pPr>
              <w:snapToGrid w:val="0"/>
              <w:spacing w:line="420" w:lineRule="exact"/>
              <w:jc w:val="left"/>
              <w:rPr>
                <w:rFonts w:ascii="宋体" w:hAnsi="宋体" w:cs="宋体"/>
                <w:sz w:val="24"/>
                <w:szCs w:val="24"/>
              </w:rPr>
            </w:pPr>
            <w:r>
              <w:rPr>
                <w:rFonts w:hint="eastAsia" w:ascii="宋体" w:hAnsi="宋体" w:cs="宋体"/>
                <w:sz w:val="24"/>
                <w:szCs w:val="24"/>
              </w:rPr>
              <w:t>产生氰化氢，吸入少量可能会致命</w:t>
            </w:r>
          </w:p>
        </w:tc>
      </w:tr>
      <w:tr w14:paraId="4E4D0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346A9660">
            <w:pPr>
              <w:snapToGrid w:val="0"/>
              <w:spacing w:line="420" w:lineRule="exact"/>
              <w:jc w:val="center"/>
              <w:rPr>
                <w:rFonts w:ascii="宋体" w:hAnsi="宋体" w:cs="宋体"/>
                <w:sz w:val="24"/>
                <w:szCs w:val="24"/>
              </w:rPr>
            </w:pPr>
            <w:r>
              <w:rPr>
                <w:rFonts w:hint="eastAsia" w:ascii="宋体" w:hAnsi="宋体" w:cs="宋体"/>
                <w:sz w:val="24"/>
                <w:szCs w:val="24"/>
              </w:rPr>
              <w:t>次氯酸盐</w:t>
            </w:r>
          </w:p>
        </w:tc>
        <w:tc>
          <w:tcPr>
            <w:tcW w:w="2225" w:type="dxa"/>
            <w:shd w:val="clear" w:color="auto" w:fill="auto"/>
            <w:vAlign w:val="center"/>
          </w:tcPr>
          <w:p w14:paraId="33CED992">
            <w:pPr>
              <w:snapToGrid w:val="0"/>
              <w:spacing w:line="420" w:lineRule="exact"/>
              <w:jc w:val="center"/>
              <w:rPr>
                <w:rFonts w:ascii="宋体" w:hAnsi="宋体" w:cs="宋体"/>
                <w:sz w:val="24"/>
                <w:szCs w:val="24"/>
              </w:rPr>
            </w:pPr>
            <w:r>
              <w:rPr>
                <w:rFonts w:hint="eastAsia" w:ascii="宋体" w:hAnsi="宋体" w:cs="宋体"/>
                <w:sz w:val="24"/>
                <w:szCs w:val="24"/>
              </w:rPr>
              <w:t>酸类、非氧化</w:t>
            </w:r>
          </w:p>
        </w:tc>
        <w:tc>
          <w:tcPr>
            <w:tcW w:w="4550" w:type="dxa"/>
            <w:shd w:val="clear" w:color="auto" w:fill="auto"/>
            <w:vAlign w:val="center"/>
          </w:tcPr>
          <w:p w14:paraId="7AA8F73D">
            <w:pPr>
              <w:snapToGrid w:val="0"/>
              <w:spacing w:line="420" w:lineRule="exact"/>
              <w:jc w:val="left"/>
              <w:rPr>
                <w:rFonts w:ascii="宋体" w:hAnsi="宋体" w:cs="宋体"/>
                <w:sz w:val="24"/>
                <w:szCs w:val="24"/>
              </w:rPr>
            </w:pPr>
            <w:r>
              <w:rPr>
                <w:rFonts w:hint="eastAsia" w:ascii="宋体" w:hAnsi="宋体" w:cs="宋体"/>
                <w:sz w:val="24"/>
                <w:szCs w:val="24"/>
              </w:rPr>
              <w:t>产生氯气、吸入可能会致命</w:t>
            </w:r>
          </w:p>
        </w:tc>
      </w:tr>
      <w:tr w14:paraId="05D21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5746E069">
            <w:pPr>
              <w:snapToGrid w:val="0"/>
              <w:spacing w:line="420" w:lineRule="exact"/>
              <w:jc w:val="center"/>
              <w:rPr>
                <w:rFonts w:ascii="宋体" w:hAnsi="宋体" w:cs="宋体"/>
                <w:sz w:val="24"/>
                <w:szCs w:val="24"/>
              </w:rPr>
            </w:pPr>
            <w:r>
              <w:rPr>
                <w:rFonts w:hint="eastAsia" w:ascii="宋体" w:hAnsi="宋体" w:cs="宋体"/>
                <w:sz w:val="24"/>
                <w:szCs w:val="24"/>
              </w:rPr>
              <w:t>铜、铬及多种重金属</w:t>
            </w:r>
          </w:p>
        </w:tc>
        <w:tc>
          <w:tcPr>
            <w:tcW w:w="2225" w:type="dxa"/>
            <w:shd w:val="clear" w:color="auto" w:fill="auto"/>
            <w:vAlign w:val="center"/>
          </w:tcPr>
          <w:p w14:paraId="5F216CBB">
            <w:pPr>
              <w:snapToGrid w:val="0"/>
              <w:spacing w:line="420" w:lineRule="exact"/>
              <w:jc w:val="center"/>
              <w:rPr>
                <w:rFonts w:ascii="宋体" w:hAnsi="宋体" w:cs="宋体"/>
                <w:sz w:val="24"/>
                <w:szCs w:val="24"/>
              </w:rPr>
            </w:pPr>
            <w:r>
              <w:rPr>
                <w:rFonts w:hint="eastAsia" w:ascii="宋体" w:hAnsi="宋体" w:cs="宋体"/>
                <w:sz w:val="24"/>
                <w:szCs w:val="24"/>
              </w:rPr>
              <w:t>酸类、氧化，如硝酸</w:t>
            </w:r>
          </w:p>
        </w:tc>
        <w:tc>
          <w:tcPr>
            <w:tcW w:w="4550" w:type="dxa"/>
            <w:shd w:val="clear" w:color="auto" w:fill="auto"/>
            <w:vAlign w:val="center"/>
          </w:tcPr>
          <w:p w14:paraId="108954CE">
            <w:pPr>
              <w:snapToGrid w:val="0"/>
              <w:spacing w:line="420" w:lineRule="exact"/>
              <w:jc w:val="left"/>
              <w:rPr>
                <w:rFonts w:ascii="宋体" w:hAnsi="宋体" w:cs="宋体"/>
                <w:sz w:val="24"/>
                <w:szCs w:val="24"/>
              </w:rPr>
            </w:pPr>
            <w:r>
              <w:rPr>
                <w:rFonts w:hint="eastAsia" w:ascii="宋体" w:hAnsi="宋体" w:cs="宋体"/>
                <w:sz w:val="24"/>
                <w:szCs w:val="24"/>
              </w:rPr>
              <w:t>产生二氧化氮、亚硝酸烟，刺激眼目及烧伤皮肤</w:t>
            </w:r>
          </w:p>
        </w:tc>
      </w:tr>
      <w:tr w14:paraId="0F2EC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26978C1B">
            <w:pPr>
              <w:snapToGrid w:val="0"/>
              <w:spacing w:line="420" w:lineRule="exact"/>
              <w:jc w:val="center"/>
              <w:rPr>
                <w:rFonts w:ascii="宋体" w:hAnsi="宋体" w:cs="宋体"/>
                <w:sz w:val="24"/>
                <w:szCs w:val="24"/>
              </w:rPr>
            </w:pPr>
            <w:r>
              <w:rPr>
                <w:rFonts w:hint="eastAsia" w:ascii="宋体" w:hAnsi="宋体" w:cs="宋体"/>
                <w:sz w:val="24"/>
                <w:szCs w:val="24"/>
              </w:rPr>
              <w:t>强酸</w:t>
            </w:r>
          </w:p>
        </w:tc>
        <w:tc>
          <w:tcPr>
            <w:tcW w:w="2225" w:type="dxa"/>
            <w:shd w:val="clear" w:color="auto" w:fill="auto"/>
            <w:vAlign w:val="center"/>
          </w:tcPr>
          <w:p w14:paraId="0F6C4067">
            <w:pPr>
              <w:snapToGrid w:val="0"/>
              <w:spacing w:line="420" w:lineRule="exact"/>
              <w:jc w:val="center"/>
              <w:rPr>
                <w:rFonts w:ascii="宋体" w:hAnsi="宋体" w:cs="宋体"/>
                <w:sz w:val="24"/>
                <w:szCs w:val="24"/>
              </w:rPr>
            </w:pPr>
            <w:r>
              <w:rPr>
                <w:rFonts w:hint="eastAsia" w:ascii="宋体" w:hAnsi="宋体" w:cs="宋体"/>
                <w:sz w:val="24"/>
                <w:szCs w:val="24"/>
              </w:rPr>
              <w:t>强碱</w:t>
            </w:r>
          </w:p>
        </w:tc>
        <w:tc>
          <w:tcPr>
            <w:tcW w:w="4550" w:type="dxa"/>
            <w:shd w:val="clear" w:color="auto" w:fill="auto"/>
            <w:vAlign w:val="center"/>
          </w:tcPr>
          <w:p w14:paraId="6790A556">
            <w:pPr>
              <w:snapToGrid w:val="0"/>
              <w:spacing w:line="420" w:lineRule="exact"/>
              <w:jc w:val="left"/>
              <w:rPr>
                <w:rFonts w:ascii="宋体" w:hAnsi="宋体" w:cs="宋体"/>
                <w:sz w:val="24"/>
                <w:szCs w:val="24"/>
              </w:rPr>
            </w:pPr>
            <w:r>
              <w:rPr>
                <w:rFonts w:hint="eastAsia" w:ascii="宋体" w:hAnsi="宋体" w:cs="宋体"/>
                <w:sz w:val="24"/>
                <w:szCs w:val="24"/>
              </w:rPr>
              <w:t>可能引起爆炸性的反应及产生热能</w:t>
            </w:r>
          </w:p>
        </w:tc>
      </w:tr>
      <w:tr w14:paraId="0A029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17D03BA7">
            <w:pPr>
              <w:snapToGrid w:val="0"/>
              <w:spacing w:line="420" w:lineRule="exact"/>
              <w:jc w:val="center"/>
              <w:rPr>
                <w:rFonts w:ascii="宋体" w:hAnsi="宋体" w:cs="宋体"/>
                <w:sz w:val="24"/>
                <w:szCs w:val="24"/>
              </w:rPr>
            </w:pPr>
            <w:r>
              <w:rPr>
                <w:rFonts w:hint="eastAsia" w:ascii="宋体" w:hAnsi="宋体" w:cs="宋体"/>
                <w:sz w:val="24"/>
                <w:szCs w:val="24"/>
              </w:rPr>
              <w:t>铵盐</w:t>
            </w:r>
          </w:p>
        </w:tc>
        <w:tc>
          <w:tcPr>
            <w:tcW w:w="2225" w:type="dxa"/>
            <w:shd w:val="clear" w:color="auto" w:fill="auto"/>
            <w:vAlign w:val="center"/>
          </w:tcPr>
          <w:p w14:paraId="11854A47">
            <w:pPr>
              <w:snapToGrid w:val="0"/>
              <w:spacing w:line="420" w:lineRule="exact"/>
              <w:jc w:val="center"/>
              <w:rPr>
                <w:rFonts w:ascii="宋体" w:hAnsi="宋体" w:cs="宋体"/>
                <w:sz w:val="24"/>
                <w:szCs w:val="24"/>
              </w:rPr>
            </w:pPr>
            <w:r>
              <w:rPr>
                <w:rFonts w:hint="eastAsia" w:ascii="宋体" w:hAnsi="宋体" w:cs="宋体"/>
                <w:sz w:val="24"/>
                <w:szCs w:val="24"/>
              </w:rPr>
              <w:t>强碱</w:t>
            </w:r>
          </w:p>
        </w:tc>
        <w:tc>
          <w:tcPr>
            <w:tcW w:w="4550" w:type="dxa"/>
            <w:shd w:val="clear" w:color="auto" w:fill="auto"/>
            <w:vAlign w:val="center"/>
          </w:tcPr>
          <w:p w14:paraId="4EF4BDDE">
            <w:pPr>
              <w:snapToGrid w:val="0"/>
              <w:spacing w:line="420" w:lineRule="exact"/>
              <w:jc w:val="left"/>
              <w:rPr>
                <w:rFonts w:ascii="宋体" w:hAnsi="宋体" w:cs="宋体"/>
                <w:sz w:val="24"/>
                <w:szCs w:val="24"/>
              </w:rPr>
            </w:pPr>
            <w:r>
              <w:rPr>
                <w:rFonts w:hint="eastAsia" w:ascii="宋体" w:hAnsi="宋体" w:cs="宋体"/>
                <w:sz w:val="24"/>
                <w:szCs w:val="24"/>
              </w:rPr>
              <w:t>产生氨气，吸入会刺激眼目和呼吸道</w:t>
            </w:r>
          </w:p>
        </w:tc>
      </w:tr>
      <w:tr w14:paraId="47F69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shd w:val="clear" w:color="auto" w:fill="auto"/>
            <w:vAlign w:val="center"/>
          </w:tcPr>
          <w:p w14:paraId="3013383D">
            <w:pPr>
              <w:snapToGrid w:val="0"/>
              <w:spacing w:line="420" w:lineRule="exact"/>
              <w:jc w:val="center"/>
              <w:rPr>
                <w:rFonts w:ascii="宋体" w:hAnsi="宋体" w:cs="宋体"/>
                <w:sz w:val="24"/>
                <w:szCs w:val="24"/>
              </w:rPr>
            </w:pPr>
            <w:r>
              <w:rPr>
                <w:rFonts w:hint="eastAsia" w:ascii="宋体" w:hAnsi="宋体" w:cs="宋体"/>
                <w:sz w:val="24"/>
                <w:szCs w:val="24"/>
              </w:rPr>
              <w:t>氧化剂</w:t>
            </w:r>
          </w:p>
        </w:tc>
        <w:tc>
          <w:tcPr>
            <w:tcW w:w="2225" w:type="dxa"/>
            <w:shd w:val="clear" w:color="auto" w:fill="auto"/>
            <w:vAlign w:val="center"/>
          </w:tcPr>
          <w:p w14:paraId="29F71DA2">
            <w:pPr>
              <w:snapToGrid w:val="0"/>
              <w:spacing w:line="420" w:lineRule="exact"/>
              <w:jc w:val="center"/>
              <w:rPr>
                <w:rFonts w:ascii="宋体" w:hAnsi="宋体" w:cs="宋体"/>
                <w:sz w:val="24"/>
                <w:szCs w:val="24"/>
              </w:rPr>
            </w:pPr>
            <w:r>
              <w:rPr>
                <w:rFonts w:hint="eastAsia" w:ascii="宋体" w:hAnsi="宋体" w:cs="宋体"/>
                <w:sz w:val="24"/>
                <w:szCs w:val="24"/>
              </w:rPr>
              <w:t>还原剂</w:t>
            </w:r>
          </w:p>
        </w:tc>
        <w:tc>
          <w:tcPr>
            <w:tcW w:w="4550" w:type="dxa"/>
            <w:shd w:val="clear" w:color="auto" w:fill="auto"/>
            <w:vAlign w:val="center"/>
          </w:tcPr>
          <w:p w14:paraId="4E2AD0D4">
            <w:pPr>
              <w:snapToGrid w:val="0"/>
              <w:spacing w:line="420" w:lineRule="exact"/>
              <w:jc w:val="left"/>
              <w:rPr>
                <w:rFonts w:ascii="宋体" w:hAnsi="宋体" w:cs="宋体"/>
                <w:sz w:val="24"/>
                <w:szCs w:val="24"/>
              </w:rPr>
            </w:pPr>
            <w:r>
              <w:rPr>
                <w:rFonts w:hint="eastAsia" w:ascii="宋体" w:hAnsi="宋体" w:cs="宋体"/>
                <w:sz w:val="24"/>
                <w:szCs w:val="24"/>
              </w:rPr>
              <w:t>可能引起强烈及爆炸性的反应及产生热能。</w:t>
            </w:r>
          </w:p>
        </w:tc>
      </w:tr>
    </w:tbl>
    <w:p w14:paraId="2E11AE54">
      <w:pPr>
        <w:spacing w:line="480" w:lineRule="exact"/>
        <w:rPr>
          <w:rFonts w:ascii="仿宋_GB2312" w:hAnsi="Times New Roman" w:eastAsia="仿宋_GB2312" w:cs="仿宋_GB2312"/>
          <w:sz w:val="28"/>
          <w:szCs w:val="28"/>
        </w:rPr>
      </w:pPr>
      <w:r>
        <w:rPr>
          <w:rFonts w:ascii="仿宋_GB2312" w:hAnsi="Times New Roman" w:eastAsia="仿宋_GB2312" w:cs="仿宋_GB2312"/>
          <w:sz w:val="28"/>
          <w:szCs w:val="28"/>
        </w:rPr>
        <w:t xml:space="preserve"> </w:t>
      </w:r>
      <w:r>
        <w:rPr>
          <w:rFonts w:ascii="仿宋_GB2312" w:hAnsi="Times New Roman" w:eastAsia="仿宋_GB2312" w:cs="仿宋_GB2312"/>
          <w:sz w:val="28"/>
          <w:szCs w:val="28"/>
        </w:rPr>
        <w:br w:type="textWrapping"/>
      </w:r>
    </w:p>
    <w:p w14:paraId="4B60E0DA">
      <w:pPr>
        <w:spacing w:line="480" w:lineRule="exact"/>
        <w:rPr>
          <w:rFonts w:ascii="仿宋_GB2312" w:hAnsi="Times New Roman" w:eastAsia="仿宋_GB2312" w:cs="仿宋_GB2312"/>
          <w:sz w:val="28"/>
          <w:szCs w:val="28"/>
        </w:rPr>
      </w:pPr>
    </w:p>
    <w:p w14:paraId="0D3BE564">
      <w:pPr>
        <w:spacing w:line="480" w:lineRule="exact"/>
        <w:rPr>
          <w:rFonts w:ascii="仿宋_GB2312" w:hAnsi="Times New Roman" w:eastAsia="仿宋_GB2312" w:cs="仿宋_GB2312"/>
          <w:sz w:val="28"/>
          <w:szCs w:val="28"/>
        </w:rPr>
      </w:pPr>
    </w:p>
    <w:p w14:paraId="2A205588">
      <w:pPr>
        <w:spacing w:line="480" w:lineRule="exact"/>
        <w:rPr>
          <w:rFonts w:ascii="仿宋_GB2312" w:hAnsi="Times New Roman" w:eastAsia="仿宋_GB2312" w:cs="仿宋_GB2312"/>
          <w:sz w:val="28"/>
          <w:szCs w:val="28"/>
        </w:rPr>
      </w:pPr>
    </w:p>
    <w:p w14:paraId="4B5525FE">
      <w:pPr>
        <w:spacing w:line="480" w:lineRule="exact"/>
        <w:rPr>
          <w:rFonts w:ascii="仿宋_GB2312" w:hAnsi="Times New Roman" w:eastAsia="仿宋_GB2312" w:cs="仿宋_GB2312"/>
          <w:sz w:val="28"/>
          <w:szCs w:val="28"/>
        </w:rPr>
      </w:pPr>
    </w:p>
    <w:p w14:paraId="59E1012F">
      <w:pPr>
        <w:spacing w:line="480" w:lineRule="exact"/>
        <w:rPr>
          <w:rFonts w:ascii="仿宋_GB2312" w:hAnsi="Times New Roman" w:eastAsia="仿宋_GB2312" w:cs="仿宋_GB2312"/>
          <w:sz w:val="28"/>
          <w:szCs w:val="28"/>
        </w:rPr>
      </w:pPr>
    </w:p>
    <w:p w14:paraId="28D903BE">
      <w:pPr>
        <w:spacing w:line="480" w:lineRule="exact"/>
        <w:rPr>
          <w:rFonts w:ascii="仿宋_GB2312" w:hAnsi="Times New Roman" w:eastAsia="仿宋_GB2312" w:cs="仿宋_GB2312"/>
          <w:sz w:val="28"/>
          <w:szCs w:val="28"/>
        </w:rPr>
      </w:pPr>
    </w:p>
    <w:p w14:paraId="4D100F3D">
      <w:pPr>
        <w:spacing w:line="480" w:lineRule="exact"/>
        <w:rPr>
          <w:rFonts w:ascii="仿宋_GB2312" w:hAnsi="Times New Roman" w:eastAsia="仿宋_GB2312" w:cs="仿宋_GB2312"/>
          <w:sz w:val="28"/>
          <w:szCs w:val="28"/>
        </w:rPr>
      </w:pPr>
    </w:p>
    <w:p w14:paraId="12EF57B0">
      <w:pPr>
        <w:spacing w:line="480" w:lineRule="exact"/>
        <w:rPr>
          <w:rFonts w:ascii="仿宋_GB2312" w:hAnsi="Times New Roman" w:eastAsia="仿宋_GB2312" w:cs="仿宋_GB2312"/>
          <w:sz w:val="28"/>
          <w:szCs w:val="28"/>
        </w:rPr>
      </w:pPr>
    </w:p>
    <w:p w14:paraId="6CAEB93E">
      <w:pPr>
        <w:spacing w:line="480" w:lineRule="exact"/>
        <w:rPr>
          <w:rFonts w:hint="eastAsia" w:ascii="仿宋" w:hAnsi="仿宋" w:eastAsia="仿宋" w:cs="仿宋"/>
          <w:sz w:val="28"/>
          <w:szCs w:val="24"/>
          <w:shd w:val="clear" w:color="auto" w:fill="FFFFFF"/>
          <w:lang w:val="en-US" w:eastAsia="zh-CN"/>
        </w:rPr>
      </w:pPr>
    </w:p>
    <w:p w14:paraId="4583F663">
      <w:pPr>
        <w:spacing w:line="480" w:lineRule="exact"/>
        <w:rPr>
          <w:rFonts w:hint="eastAsia" w:ascii="仿宋" w:hAnsi="仿宋" w:eastAsia="仿宋" w:cs="仿宋"/>
          <w:sz w:val="28"/>
          <w:szCs w:val="24"/>
          <w:shd w:val="clear" w:color="auto" w:fill="FFFFFF"/>
          <w:lang w:val="en-US" w:eastAsia="zh-CN"/>
        </w:rPr>
      </w:pPr>
    </w:p>
    <w:p w14:paraId="7D8E5325">
      <w:pPr>
        <w:spacing w:line="480" w:lineRule="exact"/>
        <w:rPr>
          <w:rFonts w:hint="eastAsia" w:ascii="仿宋" w:hAnsi="仿宋" w:eastAsia="仿宋" w:cs="仿宋"/>
          <w:sz w:val="28"/>
          <w:szCs w:val="24"/>
          <w:shd w:val="clear" w:color="auto" w:fill="FFFFFF"/>
          <w:lang w:val="en-US" w:eastAsia="zh-CN"/>
        </w:rPr>
      </w:pPr>
    </w:p>
    <w:p w14:paraId="3A2F4965">
      <w:pPr>
        <w:spacing w:line="480" w:lineRule="exact"/>
        <w:rPr>
          <w:rFonts w:hint="eastAsia" w:ascii="仿宋" w:hAnsi="仿宋" w:eastAsia="仿宋" w:cs="仿宋"/>
          <w:sz w:val="28"/>
          <w:szCs w:val="24"/>
          <w:shd w:val="clear" w:color="auto" w:fill="FFFFFF"/>
          <w:lang w:val="en-US" w:eastAsia="zh-CN"/>
        </w:rPr>
      </w:pPr>
    </w:p>
    <w:p w14:paraId="31CCB356">
      <w:pPr>
        <w:spacing w:line="480" w:lineRule="exact"/>
        <w:rPr>
          <w:rFonts w:hint="eastAsia" w:ascii="仿宋" w:hAnsi="仿宋" w:eastAsia="仿宋" w:cs="仿宋"/>
          <w:sz w:val="28"/>
          <w:szCs w:val="24"/>
          <w:shd w:val="clear" w:color="auto" w:fill="FFFFFF"/>
          <w:lang w:val="en-US" w:eastAsia="zh-CN"/>
        </w:rPr>
      </w:pPr>
    </w:p>
    <w:p w14:paraId="79D0998C">
      <w:pPr>
        <w:spacing w:line="480" w:lineRule="exact"/>
        <w:rPr>
          <w:rFonts w:hint="eastAsia" w:ascii="仿宋" w:hAnsi="仿宋" w:eastAsia="仿宋" w:cs="仿宋"/>
          <w:sz w:val="28"/>
          <w:szCs w:val="24"/>
          <w:shd w:val="clear" w:color="auto" w:fill="FFFFFF"/>
          <w:lang w:val="en-US" w:eastAsia="zh-CN"/>
        </w:rPr>
      </w:pPr>
    </w:p>
    <w:p w14:paraId="4F0AE878">
      <w:pPr>
        <w:spacing w:line="480" w:lineRule="exact"/>
        <w:rPr>
          <w:rFonts w:hint="eastAsia" w:ascii="仿宋" w:hAnsi="仿宋" w:eastAsia="仿宋" w:cs="仿宋"/>
          <w:sz w:val="28"/>
          <w:szCs w:val="24"/>
          <w:shd w:val="clear" w:color="auto" w:fill="FFFFFF"/>
          <w:lang w:val="en-US" w:eastAsia="zh-CN"/>
        </w:rPr>
      </w:pPr>
    </w:p>
    <w:p w14:paraId="0646FC36">
      <w:pPr>
        <w:spacing w:line="480" w:lineRule="exact"/>
        <w:rPr>
          <w:rFonts w:ascii="仿宋_GB2312" w:hAnsi="Times New Roman" w:eastAsia="仿宋_GB2312" w:cs="仿宋_GB2312"/>
          <w:b/>
          <w:bCs/>
          <w:sz w:val="28"/>
          <w:szCs w:val="28"/>
        </w:rPr>
      </w:pPr>
      <w:r>
        <w:rPr>
          <w:rFonts w:hint="eastAsia" w:ascii="仿宋" w:hAnsi="仿宋" w:eastAsia="仿宋" w:cs="仿宋"/>
          <w:sz w:val="28"/>
          <w:szCs w:val="24"/>
          <w:shd w:val="clear" w:color="auto" w:fill="FFFFFF"/>
          <w:lang w:val="en-US" w:eastAsia="zh-CN"/>
        </w:rPr>
        <w:t xml:space="preserve">表三          </w:t>
      </w:r>
      <w:r>
        <w:rPr>
          <w:rFonts w:hint="eastAsia" w:ascii="仿宋" w:hAnsi="仿宋" w:eastAsia="仿宋" w:cs="仿宋"/>
          <w:b/>
          <w:bCs/>
          <w:sz w:val="28"/>
          <w:szCs w:val="24"/>
          <w:shd w:val="clear" w:color="auto" w:fill="FFFFFF"/>
          <w:lang w:val="en-US" w:eastAsia="zh-CN"/>
        </w:rPr>
        <w:t>遇水反应的化学品名单及应急处置措施</w:t>
      </w:r>
    </w:p>
    <w:tbl>
      <w:tblPr>
        <w:tblStyle w:val="7"/>
        <w:tblpPr w:leftFromText="180" w:rightFromText="180" w:vertAnchor="text" w:horzAnchor="page" w:tblpX="1163" w:tblpY="1582"/>
        <w:tblOverlap w:val="never"/>
        <w:tblW w:w="906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76"/>
        <w:gridCol w:w="1510"/>
        <w:gridCol w:w="4070"/>
        <w:gridCol w:w="2905"/>
      </w:tblGrid>
      <w:tr w14:paraId="290D9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6" w:hRule="atLeast"/>
        </w:trPr>
        <w:tc>
          <w:tcPr>
            <w:tcW w:w="576" w:type="dxa"/>
            <w:vAlign w:val="center"/>
          </w:tcPr>
          <w:p w14:paraId="1152DEDC">
            <w:pPr>
              <w:spacing w:line="320" w:lineRule="exact"/>
              <w:jc w:val="center"/>
              <w:rPr>
                <w:rFonts w:ascii="Times New Roman" w:hAnsi="Times New Roman" w:eastAsia="黑体" w:cs="Times New Roman"/>
                <w:b/>
                <w:sz w:val="24"/>
                <w:szCs w:val="24"/>
              </w:rPr>
            </w:pPr>
            <w:r>
              <w:rPr>
                <w:rFonts w:hint="default" w:ascii="Times New Roman" w:hAnsi="Times New Roman" w:eastAsia="黑体" w:cs="Times New Roman"/>
                <w:b/>
                <w:sz w:val="24"/>
                <w:szCs w:val="24"/>
              </w:rPr>
              <w:t>序号</w:t>
            </w:r>
          </w:p>
        </w:tc>
        <w:tc>
          <w:tcPr>
            <w:tcW w:w="1510" w:type="dxa"/>
            <w:vAlign w:val="center"/>
          </w:tcPr>
          <w:p w14:paraId="571360A5">
            <w:pPr>
              <w:spacing w:line="320" w:lineRule="exact"/>
              <w:jc w:val="center"/>
              <w:rPr>
                <w:rFonts w:ascii="Times New Roman" w:hAnsi="Times New Roman" w:eastAsia="黑体" w:cs="Times New Roman"/>
                <w:b/>
                <w:sz w:val="24"/>
                <w:szCs w:val="24"/>
              </w:rPr>
            </w:pPr>
            <w:r>
              <w:rPr>
                <w:rFonts w:hint="default" w:ascii="Times New Roman" w:hAnsi="Times New Roman" w:eastAsia="黑体" w:cs="Times New Roman"/>
                <w:b/>
                <w:sz w:val="24"/>
                <w:szCs w:val="24"/>
              </w:rPr>
              <w:t>物质名称</w:t>
            </w:r>
          </w:p>
        </w:tc>
        <w:tc>
          <w:tcPr>
            <w:tcW w:w="4070" w:type="dxa"/>
            <w:vAlign w:val="center"/>
          </w:tcPr>
          <w:p w14:paraId="3A93B645">
            <w:pPr>
              <w:spacing w:line="240" w:lineRule="auto"/>
              <w:jc w:val="center"/>
              <w:rPr>
                <w:rFonts w:ascii="Times New Roman" w:hAnsi="Times New Roman" w:eastAsia="黑体" w:cs="Times New Roman"/>
                <w:b/>
                <w:sz w:val="24"/>
                <w:szCs w:val="24"/>
              </w:rPr>
            </w:pPr>
            <w:r>
              <w:rPr>
                <w:rFonts w:hint="default" w:ascii="Times New Roman" w:hAnsi="Times New Roman" w:eastAsia="黑体" w:cs="Times New Roman"/>
                <w:b/>
                <w:sz w:val="24"/>
                <w:szCs w:val="24"/>
              </w:rPr>
              <w:t>遇水反应</w:t>
            </w:r>
          </w:p>
        </w:tc>
        <w:tc>
          <w:tcPr>
            <w:tcW w:w="2905" w:type="dxa"/>
            <w:vAlign w:val="center"/>
          </w:tcPr>
          <w:p w14:paraId="093D7B2D">
            <w:pPr>
              <w:spacing w:line="320" w:lineRule="exact"/>
              <w:jc w:val="center"/>
              <w:rPr>
                <w:rFonts w:ascii="Times New Roman" w:hAnsi="Times New Roman" w:eastAsia="黑体" w:cs="Times New Roman"/>
                <w:b/>
                <w:sz w:val="24"/>
                <w:szCs w:val="24"/>
              </w:rPr>
            </w:pPr>
            <w:r>
              <w:rPr>
                <w:rFonts w:hint="eastAsia" w:ascii="Times New Roman" w:hAnsi="Times New Roman" w:eastAsia="黑体" w:cs="Times New Roman"/>
                <w:b/>
                <w:sz w:val="24"/>
                <w:szCs w:val="24"/>
                <w:lang w:eastAsia="zh-CN"/>
              </w:rPr>
              <w:t>应急处置措施及</w:t>
            </w:r>
            <w:r>
              <w:rPr>
                <w:rFonts w:hint="default" w:ascii="Times New Roman" w:hAnsi="Times New Roman" w:eastAsia="黑体" w:cs="Times New Roman"/>
                <w:b/>
                <w:sz w:val="24"/>
                <w:szCs w:val="24"/>
              </w:rPr>
              <w:t>灭火方法</w:t>
            </w:r>
          </w:p>
        </w:tc>
      </w:tr>
      <w:tr w14:paraId="5CE47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061" w:type="dxa"/>
            <w:gridSpan w:val="4"/>
            <w:vAlign w:val="center"/>
          </w:tcPr>
          <w:p w14:paraId="0080794B">
            <w:pPr>
              <w:spacing w:line="320" w:lineRule="exact"/>
              <w:jc w:val="left"/>
              <w:rPr>
                <w:rFonts w:ascii="黑体" w:hAnsi="黑体" w:eastAsia="黑体" w:cs="Times New Roman"/>
                <w:kern w:val="0"/>
                <w:sz w:val="24"/>
                <w:szCs w:val="24"/>
              </w:rPr>
            </w:pPr>
            <w:r>
              <w:rPr>
                <w:rFonts w:hint="default" w:ascii="黑体" w:hAnsi="黑体" w:eastAsia="黑体" w:cs="Times New Roman"/>
                <w:b w:val="0"/>
                <w:sz w:val="24"/>
                <w:szCs w:val="24"/>
              </w:rPr>
              <w:t>一、遇水反应有爆炸危险的物质</w:t>
            </w:r>
          </w:p>
        </w:tc>
      </w:tr>
      <w:tr w14:paraId="47E91B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18C22EE">
            <w:pPr>
              <w:spacing w:line="320" w:lineRule="exact"/>
              <w:jc w:val="center"/>
              <w:rPr>
                <w:rFonts w:ascii="Times New Roman" w:hAnsi="Times New Roman" w:eastAsia="宋体" w:cs="Times New Roman"/>
                <w:sz w:val="24"/>
                <w:szCs w:val="24"/>
              </w:rPr>
            </w:pPr>
            <w:r>
              <w:rPr>
                <w:rFonts w:hint="default" w:ascii="Times New Roman" w:hAnsi="Times New Roman" w:eastAsia="宋体" w:cs="Times New Roman"/>
                <w:sz w:val="24"/>
                <w:szCs w:val="24"/>
              </w:rPr>
              <w:t>1</w:t>
            </w:r>
          </w:p>
        </w:tc>
        <w:tc>
          <w:tcPr>
            <w:tcW w:w="1510" w:type="dxa"/>
            <w:vAlign w:val="center"/>
          </w:tcPr>
          <w:p w14:paraId="4D3DBF59">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sz w:val="24"/>
                <w:szCs w:val="24"/>
              </w:rPr>
              <w:t>钠</w:t>
            </w:r>
          </w:p>
        </w:tc>
        <w:tc>
          <w:tcPr>
            <w:tcW w:w="4070" w:type="dxa"/>
            <w:vAlign w:val="center"/>
          </w:tcPr>
          <w:p w14:paraId="543C68A3">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化学反应活性很高，在氧、氯、氟、溴蒸气中会燃烧。遇水或潮气猛烈反应放出氢气，大量放热，引起燃烧或爆炸。金属钠暴露在空气或氧气中能自行燃烧并爆炸使熔融物飞溅。与卤素、磷、许多氧化物、氧化剂和酸类剧烈反应。燃烧时呈黄色火焰。100</w:t>
            </w:r>
            <w:r>
              <w:rPr>
                <w:rFonts w:hint="eastAsia" w:ascii="宋体" w:hAnsi="宋体" w:eastAsia="宋体" w:cs="宋体"/>
                <w:kern w:val="0"/>
                <w:sz w:val="24"/>
                <w:szCs w:val="24"/>
              </w:rPr>
              <w:t>℃</w:t>
            </w:r>
            <w:r>
              <w:rPr>
                <w:rFonts w:hint="default" w:ascii="Times New Roman" w:hAnsi="Times New Roman" w:eastAsia="宋体" w:cs="Times New Roman"/>
                <w:kern w:val="0"/>
                <w:sz w:val="24"/>
                <w:szCs w:val="24"/>
              </w:rPr>
              <w:t xml:space="preserve"> 时开始蒸发，蒸气可侵蚀玻璃。</w:t>
            </w:r>
          </w:p>
        </w:tc>
        <w:tc>
          <w:tcPr>
            <w:tcW w:w="2905" w:type="dxa"/>
            <w:vAlign w:val="center"/>
          </w:tcPr>
          <w:p w14:paraId="199FEDB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不可用水、卤代烃（如1211灭火剂），碳酸氢钠、碳酸氢钾作为灭火剂。而应使用干燥氯化钠粉末、干燥石墨粉、碳酸钠干粉、碳酸钙干粉、干砂等灭火。</w:t>
            </w:r>
          </w:p>
        </w:tc>
      </w:tr>
      <w:tr w14:paraId="1F583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236ED07">
            <w:pPr>
              <w:spacing w:line="320" w:lineRule="exact"/>
              <w:jc w:val="center"/>
              <w:rPr>
                <w:rFonts w:ascii="Times New Roman" w:hAnsi="Times New Roman" w:eastAsia="宋体" w:cs="Times New Roman"/>
                <w:sz w:val="24"/>
                <w:szCs w:val="24"/>
              </w:rPr>
            </w:pPr>
            <w:r>
              <w:rPr>
                <w:rFonts w:hint="default" w:ascii="Times New Roman" w:hAnsi="Times New Roman" w:eastAsia="宋体" w:cs="Times New Roman"/>
                <w:sz w:val="24"/>
                <w:szCs w:val="24"/>
              </w:rPr>
              <w:t>2</w:t>
            </w:r>
          </w:p>
        </w:tc>
        <w:tc>
          <w:tcPr>
            <w:tcW w:w="1510" w:type="dxa"/>
            <w:vAlign w:val="center"/>
          </w:tcPr>
          <w:p w14:paraId="3F922756">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钾</w:t>
            </w:r>
          </w:p>
        </w:tc>
        <w:tc>
          <w:tcPr>
            <w:tcW w:w="4070" w:type="dxa"/>
            <w:vAlign w:val="center"/>
          </w:tcPr>
          <w:p w14:paraId="324307E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化学反应活性很高，在潮湿空气中能自燃。遇水或潮气猛烈反应放出氢气，大量放热，引起燃烧或爆炸。暴露在空气或氧气中能自行燃烧并爆炸使熔融物飞溅。遇水、二氧化碳都能猛烈反应。与卤素、磷、许多氧化物、氧化剂和酸类剧烈反应。燃烧时发出紫色火焰。</w:t>
            </w:r>
          </w:p>
        </w:tc>
        <w:tc>
          <w:tcPr>
            <w:tcW w:w="2905" w:type="dxa"/>
            <w:vAlign w:val="center"/>
          </w:tcPr>
          <w:p w14:paraId="6694DD42">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不可用水、卤代烃（如1211灭火剂），碳酸氢钠、碳酸氢钾作为灭火剂。即使石墨干粉对钾亦不适用。而应使用干燥氯化钠粉末、碳酸钠干粉、碳酸钙干粉、干砂等灭火。</w:t>
            </w:r>
          </w:p>
        </w:tc>
      </w:tr>
      <w:tr w14:paraId="5166E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7ABDF1B">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w:t>
            </w:r>
          </w:p>
        </w:tc>
        <w:tc>
          <w:tcPr>
            <w:tcW w:w="1510" w:type="dxa"/>
            <w:vAlign w:val="center"/>
          </w:tcPr>
          <w:p w14:paraId="39664ACE">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金属钙粉</w:t>
            </w:r>
          </w:p>
        </w:tc>
        <w:tc>
          <w:tcPr>
            <w:tcW w:w="4070" w:type="dxa"/>
            <w:vAlign w:val="center"/>
          </w:tcPr>
          <w:p w14:paraId="4A7789BA">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与水或潮湿空气接触生成易燃气体。与空气接触可能自燃。</w:t>
            </w:r>
          </w:p>
        </w:tc>
        <w:tc>
          <w:tcPr>
            <w:tcW w:w="2905" w:type="dxa"/>
            <w:vAlign w:val="center"/>
          </w:tcPr>
          <w:p w14:paraId="6D8B4D53">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禁止用水、泡沫、二氧化碳灭火。使用专用粉末、干砂。禁止用其他灭火剂。</w:t>
            </w:r>
          </w:p>
        </w:tc>
      </w:tr>
      <w:tr w14:paraId="50BB42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B60E33E">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w:t>
            </w:r>
          </w:p>
        </w:tc>
        <w:tc>
          <w:tcPr>
            <w:tcW w:w="1510" w:type="dxa"/>
            <w:vAlign w:val="center"/>
          </w:tcPr>
          <w:p w14:paraId="412F31DC">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钾钠合金</w:t>
            </w:r>
          </w:p>
        </w:tc>
        <w:tc>
          <w:tcPr>
            <w:tcW w:w="4070" w:type="dxa"/>
            <w:vAlign w:val="center"/>
          </w:tcPr>
          <w:p w14:paraId="37604961">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化学反应活性很高，在潮湿空气中能自燃。遇水或潮气猛烈反应放出氢气，大量放热，引起燃烧或爆炸。暴露在空气或氧气中能自行燃烧并爆炸使熔融物飞溅。</w:t>
            </w:r>
          </w:p>
        </w:tc>
        <w:tc>
          <w:tcPr>
            <w:tcW w:w="2905" w:type="dxa"/>
            <w:vAlign w:val="center"/>
          </w:tcPr>
          <w:p w14:paraId="72483064">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禁止用水，泡沫灭火。须用金属灭火器（氯化钠）或干砂进行灭火。</w:t>
            </w:r>
          </w:p>
        </w:tc>
      </w:tr>
      <w:tr w14:paraId="579A74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19FBAA9">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w:t>
            </w:r>
          </w:p>
        </w:tc>
        <w:tc>
          <w:tcPr>
            <w:tcW w:w="1510" w:type="dxa"/>
            <w:vAlign w:val="center"/>
          </w:tcPr>
          <w:p w14:paraId="4AE7A9B5">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金属锆粉[干燥的]</w:t>
            </w:r>
          </w:p>
        </w:tc>
        <w:tc>
          <w:tcPr>
            <w:tcW w:w="4070" w:type="dxa"/>
            <w:vAlign w:val="center"/>
          </w:tcPr>
          <w:p w14:paraId="75055EAF">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加热时，与硼砂、四氯化碳激烈反应。加热时，与碱金属、氢氧化物发生爆炸反应。与水接触会释放出易燃气体并自燃。</w:t>
            </w:r>
          </w:p>
        </w:tc>
        <w:tc>
          <w:tcPr>
            <w:tcW w:w="2905" w:type="dxa"/>
            <w:vAlign w:val="center"/>
          </w:tcPr>
          <w:p w14:paraId="0808E4E4">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禁止用水，泡沫灭火。可用干砂、干粉、纯碱、石灰进行灭火。</w:t>
            </w:r>
          </w:p>
        </w:tc>
      </w:tr>
      <w:tr w14:paraId="0C687A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1D75622">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6</w:t>
            </w:r>
          </w:p>
        </w:tc>
        <w:tc>
          <w:tcPr>
            <w:tcW w:w="1510" w:type="dxa"/>
            <w:vAlign w:val="center"/>
          </w:tcPr>
          <w:p w14:paraId="21A95454">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金属铷</w:t>
            </w:r>
          </w:p>
        </w:tc>
        <w:tc>
          <w:tcPr>
            <w:tcW w:w="4070" w:type="dxa"/>
            <w:vAlign w:val="center"/>
          </w:tcPr>
          <w:p w14:paraId="4029BED4">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暴露在空气中会迅速失去光泽。 与水剧烈反应，形成腐蚀性的氢氧化铷和氢气。反应热通常会点燃氢气。</w:t>
            </w:r>
          </w:p>
        </w:tc>
        <w:tc>
          <w:tcPr>
            <w:tcW w:w="2905" w:type="dxa"/>
            <w:vAlign w:val="center"/>
          </w:tcPr>
          <w:p w14:paraId="13E00FE2">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禁止用水，泡沫灭火。可用干粉，干砂，氯化钠粉末，石墨粉进行灭火。</w:t>
            </w:r>
          </w:p>
        </w:tc>
      </w:tr>
      <w:tr w14:paraId="1591E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3B8E88A">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7</w:t>
            </w:r>
          </w:p>
        </w:tc>
        <w:tc>
          <w:tcPr>
            <w:tcW w:w="1510" w:type="dxa"/>
            <w:vAlign w:val="center"/>
          </w:tcPr>
          <w:p w14:paraId="463F751E">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金属铯</w:t>
            </w:r>
          </w:p>
        </w:tc>
        <w:tc>
          <w:tcPr>
            <w:tcW w:w="4070" w:type="dxa"/>
            <w:vAlign w:val="center"/>
          </w:tcPr>
          <w:p w14:paraId="65D697F7">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遇水或潮气猛烈反应放出氢气，大量放热，引起燃烧或爆炸。与水反应生成的氢氧化铯，具有较强的腐蚀性。</w:t>
            </w:r>
          </w:p>
        </w:tc>
        <w:tc>
          <w:tcPr>
            <w:tcW w:w="2905" w:type="dxa"/>
            <w:vAlign w:val="center"/>
          </w:tcPr>
          <w:p w14:paraId="665CC5CC">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禁止用水，泡沫灭火。可用干粉，干砂，氯化钠粉末，石墨粉进行灭火。</w:t>
            </w:r>
          </w:p>
        </w:tc>
      </w:tr>
      <w:tr w14:paraId="6AE22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74A436E">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8</w:t>
            </w:r>
          </w:p>
        </w:tc>
        <w:tc>
          <w:tcPr>
            <w:tcW w:w="1510" w:type="dxa"/>
            <w:vAlign w:val="center"/>
          </w:tcPr>
          <w:p w14:paraId="59FC114E">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锂</w:t>
            </w:r>
          </w:p>
        </w:tc>
        <w:tc>
          <w:tcPr>
            <w:tcW w:w="4070" w:type="dxa"/>
            <w:vAlign w:val="center"/>
          </w:tcPr>
          <w:p w14:paraId="7916C99D">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加热可能引起激烈燃烧或爆炸。与空气接触时，该物质粉末可能自燃。加热时生成有毒烟雾。与强氧化剂、酸和许多化合物（烃类，卤素，哈龙，混凝土、沙子和石棉）激烈反应，有着火和爆炸危险。与水激烈反应，生成高度易燃氢气和氢氧化锂腐蚀性烟雾。</w:t>
            </w:r>
          </w:p>
        </w:tc>
        <w:tc>
          <w:tcPr>
            <w:tcW w:w="2905" w:type="dxa"/>
            <w:vAlign w:val="center"/>
          </w:tcPr>
          <w:p w14:paraId="76AEC7EB">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禁止用水，泡沫、二氧化碳、卤化物灭火。可用纯碱、石墨粉、氯化钠粉末、铜粉进行灭火。</w:t>
            </w:r>
          </w:p>
        </w:tc>
      </w:tr>
      <w:tr w14:paraId="61A3E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27255AC">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9</w:t>
            </w:r>
          </w:p>
        </w:tc>
        <w:tc>
          <w:tcPr>
            <w:tcW w:w="1510" w:type="dxa"/>
            <w:vAlign w:val="center"/>
          </w:tcPr>
          <w:p w14:paraId="1E6C29D5">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镁粉</w:t>
            </w:r>
          </w:p>
        </w:tc>
        <w:tc>
          <w:tcPr>
            <w:tcW w:w="4070" w:type="dxa"/>
            <w:vAlign w:val="center"/>
          </w:tcPr>
          <w:p w14:paraId="4272FC2C">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易燃，燃烧时产生强烈的白光并放出高热。遇水或潮气猛烈反应放出氢气，大量放热，引起燃烧或爆炸。遇氯、溴、碘、硫、磷、砷</w:t>
            </w:r>
            <w:r>
              <w:rPr>
                <w:rFonts w:hint="eastAsia" w:ascii="Times New Roman" w:hAnsi="Times New Roman" w:eastAsia="宋体" w:cs="Times New Roman"/>
                <w:kern w:val="0"/>
                <w:sz w:val="24"/>
                <w:szCs w:val="24"/>
                <w:lang w:eastAsia="zh-CN"/>
              </w:rPr>
              <w:t>和</w:t>
            </w:r>
            <w:r>
              <w:rPr>
                <w:rFonts w:hint="default" w:ascii="Times New Roman" w:hAnsi="Times New Roman" w:eastAsia="宋体" w:cs="Times New Roman"/>
                <w:kern w:val="0"/>
                <w:sz w:val="24"/>
                <w:szCs w:val="24"/>
              </w:rPr>
              <w:t>氧化剂剧烈反应，有燃烧、爆炸危险。粉体与空气可形成爆炸性混合物</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当达到一定浓度时</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遇火星会发生爆炸。</w:t>
            </w:r>
          </w:p>
        </w:tc>
        <w:tc>
          <w:tcPr>
            <w:tcW w:w="2905" w:type="dxa"/>
            <w:vAlign w:val="center"/>
          </w:tcPr>
          <w:p w14:paraId="234632C3">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严禁用水、泡沫、二氧化碳扑救。最好的灭火方法是用干燥石墨粉和干砂闷熄火苗，隔绝空气。施救时对眼睛和皮肤须加保护，以免飞来炽粒烧伤身体、镁光灼伤视力。</w:t>
            </w:r>
          </w:p>
        </w:tc>
      </w:tr>
      <w:tr w14:paraId="4CEFF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09B8E08">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10</w:t>
            </w:r>
          </w:p>
        </w:tc>
        <w:tc>
          <w:tcPr>
            <w:tcW w:w="1510" w:type="dxa"/>
            <w:vAlign w:val="center"/>
          </w:tcPr>
          <w:p w14:paraId="4ED2FD58">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铝粉</w:t>
            </w:r>
          </w:p>
        </w:tc>
        <w:tc>
          <w:tcPr>
            <w:tcW w:w="4070" w:type="dxa"/>
            <w:vAlign w:val="center"/>
          </w:tcPr>
          <w:p w14:paraId="6DE10E8C">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大量粉尘遇潮湿、水蒸气能自燃。与氧化剂混合能形成爆炸性混合物。与氟、氯等接触会发生剧烈的化学反应。与酸类或与强碱接触也能产生氢气，引起燃烧爆炸。粉体与空气可形成爆炸性混合物</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当达到一定浓度时</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遇火星会发生爆炸。</w:t>
            </w:r>
          </w:p>
        </w:tc>
        <w:tc>
          <w:tcPr>
            <w:tcW w:w="2905" w:type="dxa"/>
            <w:vAlign w:val="center"/>
          </w:tcPr>
          <w:p w14:paraId="2A9B03A6">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严禁用水、泡沫、二氧化碳扑救。可用适当的干砂、石粉将火闷熄。</w:t>
            </w:r>
          </w:p>
        </w:tc>
      </w:tr>
      <w:tr w14:paraId="5DF4BA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C92D423">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11</w:t>
            </w:r>
          </w:p>
        </w:tc>
        <w:tc>
          <w:tcPr>
            <w:tcW w:w="1510" w:type="dxa"/>
            <w:vAlign w:val="center"/>
          </w:tcPr>
          <w:p w14:paraId="1616E9DD">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锌粉</w:t>
            </w:r>
          </w:p>
        </w:tc>
        <w:tc>
          <w:tcPr>
            <w:tcW w:w="4070" w:type="dxa"/>
            <w:vAlign w:val="center"/>
          </w:tcPr>
          <w:p w14:paraId="64DA2EFB">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具有强还原性。与水、酸类或碱金属氢氧化物接触能放出易燃的氢气。与氧化剂、硫磺反应会引起燃烧或爆炸。粉末与空气能形成爆炸性混合物，易被明火点燃引起爆炸，潮湿粉尘在空气中易自行发热燃烧。</w:t>
            </w:r>
          </w:p>
        </w:tc>
        <w:tc>
          <w:tcPr>
            <w:tcW w:w="2905" w:type="dxa"/>
            <w:vAlign w:val="center"/>
          </w:tcPr>
          <w:p w14:paraId="2ADB879C">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采用干粉、干砂灭火。禁止用水和泡沫灭火。</w:t>
            </w:r>
          </w:p>
        </w:tc>
      </w:tr>
      <w:tr w14:paraId="55914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6A752EF">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12</w:t>
            </w:r>
          </w:p>
        </w:tc>
        <w:tc>
          <w:tcPr>
            <w:tcW w:w="1510" w:type="dxa"/>
            <w:vAlign w:val="center"/>
          </w:tcPr>
          <w:p w14:paraId="1D8BF030">
            <w:pPr>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钡</w:t>
            </w:r>
          </w:p>
        </w:tc>
        <w:tc>
          <w:tcPr>
            <w:tcW w:w="4070" w:type="dxa"/>
            <w:vAlign w:val="center"/>
          </w:tcPr>
          <w:p w14:paraId="34AB8F26">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具有强还原性，与氧化剂和酸类激烈反应，与卤代溶剂激烈反应。与水反应生成易燃、爆炸性气体氢，有着火和爆炸危险。</w:t>
            </w:r>
          </w:p>
        </w:tc>
        <w:tc>
          <w:tcPr>
            <w:tcW w:w="2905" w:type="dxa"/>
            <w:vAlign w:val="center"/>
          </w:tcPr>
          <w:p w14:paraId="18E2AA4E">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禁止用水灭火。可使用石墨粉、氯化钠粉末、纯碱进行灭火。</w:t>
            </w:r>
          </w:p>
        </w:tc>
      </w:tr>
      <w:tr w14:paraId="59589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E96A053">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13</w:t>
            </w:r>
          </w:p>
        </w:tc>
        <w:tc>
          <w:tcPr>
            <w:tcW w:w="1510" w:type="dxa"/>
            <w:vAlign w:val="center"/>
          </w:tcPr>
          <w:p w14:paraId="24121039">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氢化钠</w:t>
            </w:r>
          </w:p>
        </w:tc>
        <w:tc>
          <w:tcPr>
            <w:tcW w:w="4070" w:type="dxa"/>
            <w:vAlign w:val="center"/>
          </w:tcPr>
          <w:p w14:paraId="3FE7B49F">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化学反应活性很高，在潮湿空气中能自燃。受热或与潮气、酸类接触即放出热量与氢气而引起燃烧和爆炸。与氧化剂能发生强烈反应</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引起燃烧或爆炸。遇湿气和水分生成氢氧化物，腐蚀性很强。</w:t>
            </w:r>
          </w:p>
        </w:tc>
        <w:tc>
          <w:tcPr>
            <w:tcW w:w="2905" w:type="dxa"/>
            <w:vAlign w:val="center"/>
          </w:tcPr>
          <w:p w14:paraId="366ED59F">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不可用水、泡沫、二氧化碳、卤代烃（如1211灭火剂）等灭火。只能用金属盖或干燥石墨粉、干燥白云石粉末将火焖熄。</w:t>
            </w:r>
          </w:p>
        </w:tc>
      </w:tr>
      <w:tr w14:paraId="3F825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1721E73">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14</w:t>
            </w:r>
          </w:p>
        </w:tc>
        <w:tc>
          <w:tcPr>
            <w:tcW w:w="1510" w:type="dxa"/>
            <w:vAlign w:val="center"/>
          </w:tcPr>
          <w:p w14:paraId="5019BA60">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氢化钙</w:t>
            </w:r>
          </w:p>
        </w:tc>
        <w:tc>
          <w:tcPr>
            <w:tcW w:w="4070" w:type="dxa"/>
            <w:vAlign w:val="center"/>
          </w:tcPr>
          <w:p w14:paraId="48B0139F">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化学反应活性很高，遇潮气、水或酸类发生反应，放出氢气并能引起燃烧。与氧化剂、金属氧化物剧烈反应。遇湿气和水分生成氢氧化物，腐蚀性很强。</w:t>
            </w:r>
          </w:p>
        </w:tc>
        <w:tc>
          <w:tcPr>
            <w:tcW w:w="2905" w:type="dxa"/>
            <w:vAlign w:val="center"/>
          </w:tcPr>
          <w:p w14:paraId="405521DE">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不可用水、泡沫、二氧化碳、卤代烃（如1211灭火剂）等灭火。只能用金属盖或干燥石墨粉、干燥白云石粉末将火焖熄。</w:t>
            </w:r>
          </w:p>
        </w:tc>
      </w:tr>
      <w:tr w14:paraId="4EAD76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EDC597D">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15</w:t>
            </w:r>
          </w:p>
        </w:tc>
        <w:tc>
          <w:tcPr>
            <w:tcW w:w="1510" w:type="dxa"/>
            <w:vAlign w:val="center"/>
          </w:tcPr>
          <w:p w14:paraId="665E4E52">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氢化钾</w:t>
            </w:r>
          </w:p>
        </w:tc>
        <w:tc>
          <w:tcPr>
            <w:tcW w:w="4070" w:type="dxa"/>
            <w:vAlign w:val="center"/>
          </w:tcPr>
          <w:p w14:paraId="061A03C2">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化学反应活性很高，与氧化剂能发生强烈反应</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引起燃烧或爆炸。受热或与潮气、酸类接触即放出热量与氢气而引起燃烧和爆炸。加热分解，放出剧毒的氧化钾烟雾。粉体在受热、遇明火或接触氧化剂时会引起燃烧爆炸。遇湿气和水分生成氢氧化物，腐蚀性很强。</w:t>
            </w:r>
          </w:p>
        </w:tc>
        <w:tc>
          <w:tcPr>
            <w:tcW w:w="2905" w:type="dxa"/>
            <w:vAlign w:val="center"/>
          </w:tcPr>
          <w:p w14:paraId="5524B9CD">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不可用水、泡沫、二氧化碳、卤代烃（如1211灭火剂）等灭火。只能用金属盖或干燥石墨粉、干燥白云石粉末将火焖熄。</w:t>
            </w:r>
          </w:p>
        </w:tc>
      </w:tr>
      <w:tr w14:paraId="06827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FAEF000">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16</w:t>
            </w:r>
          </w:p>
        </w:tc>
        <w:tc>
          <w:tcPr>
            <w:tcW w:w="1510" w:type="dxa"/>
            <w:vAlign w:val="center"/>
          </w:tcPr>
          <w:p w14:paraId="516A275A">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氢化锂</w:t>
            </w:r>
          </w:p>
        </w:tc>
        <w:tc>
          <w:tcPr>
            <w:tcW w:w="4070" w:type="dxa"/>
            <w:vAlign w:val="center"/>
          </w:tcPr>
          <w:p w14:paraId="6B231207">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化学反应活性很高，暴露在空气中能自燃。受热或与潮气、酸类接触即放出热量与氢气而引起燃烧和爆炸。与氧化剂能发生强烈反应</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引起燃烧或爆炸。遇湿气和水分生成氢氧化物，腐蚀性很强。</w:t>
            </w:r>
          </w:p>
        </w:tc>
        <w:tc>
          <w:tcPr>
            <w:tcW w:w="2905" w:type="dxa"/>
            <w:vAlign w:val="center"/>
          </w:tcPr>
          <w:p w14:paraId="6E2A24B5">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不可用水、泡沫、二氧化碳、卤代烃（如1211灭火剂）等灭火。只能用金属盖或干燥石墨粉、干燥白云石粉末将火焖熄。</w:t>
            </w:r>
          </w:p>
        </w:tc>
      </w:tr>
      <w:tr w14:paraId="19CCC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24E73D5">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17</w:t>
            </w:r>
          </w:p>
        </w:tc>
        <w:tc>
          <w:tcPr>
            <w:tcW w:w="1510" w:type="dxa"/>
            <w:vAlign w:val="center"/>
          </w:tcPr>
          <w:p w14:paraId="16AC3463">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氢化铝</w:t>
            </w:r>
          </w:p>
        </w:tc>
        <w:tc>
          <w:tcPr>
            <w:tcW w:w="4070" w:type="dxa"/>
            <w:vAlign w:val="center"/>
          </w:tcPr>
          <w:p w14:paraId="5E45183A">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在潮湿空气中能自燃。遇水或酸发生反应放出氢气及热量</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能引起燃烧。与氧化剂能发生强烈反应。</w:t>
            </w:r>
          </w:p>
        </w:tc>
        <w:tc>
          <w:tcPr>
            <w:tcW w:w="2905" w:type="dxa"/>
            <w:vAlign w:val="center"/>
          </w:tcPr>
          <w:p w14:paraId="727876C6">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须佩戴防毒面具、穿全身消防服，在上风向灭火。灭火剂：干粉、二氧化碳、砂土。禁止用水和泡沫灭火。</w:t>
            </w:r>
          </w:p>
        </w:tc>
      </w:tr>
      <w:tr w14:paraId="68E95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50EC773">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18</w:t>
            </w:r>
          </w:p>
        </w:tc>
        <w:tc>
          <w:tcPr>
            <w:tcW w:w="1510" w:type="dxa"/>
            <w:vAlign w:val="center"/>
          </w:tcPr>
          <w:p w14:paraId="0C4EDD54">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氢化钛</w:t>
            </w:r>
          </w:p>
        </w:tc>
        <w:tc>
          <w:tcPr>
            <w:tcW w:w="4070" w:type="dxa"/>
            <w:vAlign w:val="center"/>
          </w:tcPr>
          <w:p w14:paraId="58F6F3BE">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遇明火、高热易燃。与氧化剂能发生强烈反应。粉体与空气可形成爆炸性混合物。受热或与潮气、酸类接触即放出热量与氢气而引起燃烧和爆炸。</w:t>
            </w:r>
          </w:p>
        </w:tc>
        <w:tc>
          <w:tcPr>
            <w:tcW w:w="2905" w:type="dxa"/>
            <w:vAlign w:val="center"/>
          </w:tcPr>
          <w:p w14:paraId="27BBAE74">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须佩戴防毒面具、穿全身消防服，在上风向灭火。灭火剂：干粉、二氧化碳、砂土。禁止用水和泡沫灭火。</w:t>
            </w:r>
          </w:p>
        </w:tc>
      </w:tr>
      <w:tr w14:paraId="243B0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6D0D074">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19</w:t>
            </w:r>
          </w:p>
        </w:tc>
        <w:tc>
          <w:tcPr>
            <w:tcW w:w="1510" w:type="dxa"/>
            <w:vAlign w:val="center"/>
          </w:tcPr>
          <w:p w14:paraId="5A18757F">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氢化锆</w:t>
            </w:r>
          </w:p>
        </w:tc>
        <w:tc>
          <w:tcPr>
            <w:tcW w:w="4070" w:type="dxa"/>
            <w:vAlign w:val="center"/>
          </w:tcPr>
          <w:p w14:paraId="00F99985">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具有强还原性。与氧化剂能发生强烈反应。受热或与潮气、酸类接触即放出热量与氢气而引起燃烧和爆炸。</w:t>
            </w:r>
          </w:p>
        </w:tc>
        <w:tc>
          <w:tcPr>
            <w:tcW w:w="2905" w:type="dxa"/>
            <w:vAlign w:val="center"/>
          </w:tcPr>
          <w:p w14:paraId="01192E9A">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须佩戴防毒面具、穿全身消防服，在上风向灭火。灭火剂：干粉、二氧化碳、砂土。禁止用水和泡沫灭火。</w:t>
            </w:r>
          </w:p>
        </w:tc>
      </w:tr>
      <w:tr w14:paraId="342C53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0C64200">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20</w:t>
            </w:r>
          </w:p>
        </w:tc>
        <w:tc>
          <w:tcPr>
            <w:tcW w:w="1510" w:type="dxa"/>
            <w:vAlign w:val="center"/>
          </w:tcPr>
          <w:p w14:paraId="3DE98CDE">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硅化钙</w:t>
            </w:r>
          </w:p>
        </w:tc>
        <w:tc>
          <w:tcPr>
            <w:tcW w:w="4070" w:type="dxa"/>
            <w:vAlign w:val="center"/>
          </w:tcPr>
          <w:p w14:paraId="544D87DC">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粉体与空气可形成爆炸性混合物。与水强烈反应</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放出易爆炸着火的氢气。与氟发生剧烈反应。</w:t>
            </w:r>
          </w:p>
        </w:tc>
        <w:tc>
          <w:tcPr>
            <w:tcW w:w="2905" w:type="dxa"/>
            <w:vAlign w:val="center"/>
          </w:tcPr>
          <w:p w14:paraId="0BE45A32">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须佩戴防毒面具、穿全身消防服，在上风向灭火。灭火剂：干粉、二氧化碳、砂土。禁止用水和泡沫灭火。</w:t>
            </w:r>
          </w:p>
        </w:tc>
      </w:tr>
      <w:tr w14:paraId="17468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2DB02C7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21</w:t>
            </w:r>
          </w:p>
        </w:tc>
        <w:tc>
          <w:tcPr>
            <w:tcW w:w="1510" w:type="dxa"/>
            <w:vAlign w:val="center"/>
          </w:tcPr>
          <w:p w14:paraId="75CDF88A">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kern w:val="0"/>
                <w:sz w:val="24"/>
                <w:szCs w:val="24"/>
              </w:rPr>
              <w:t>四氢化锂铝（氢化锂铝）</w:t>
            </w:r>
          </w:p>
        </w:tc>
        <w:tc>
          <w:tcPr>
            <w:tcW w:w="4070" w:type="dxa"/>
            <w:vAlign w:val="center"/>
          </w:tcPr>
          <w:p w14:paraId="453341E3">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加热至125</w:t>
            </w:r>
            <w:r>
              <w:rPr>
                <w:rFonts w:hint="eastAsia" w:ascii="宋体" w:hAnsi="宋体" w:eastAsia="宋体" w:cs="宋体"/>
                <w:kern w:val="0"/>
                <w:sz w:val="24"/>
                <w:szCs w:val="24"/>
              </w:rPr>
              <w:t>℃</w:t>
            </w:r>
            <w:r>
              <w:rPr>
                <w:rFonts w:hint="default" w:ascii="Times New Roman" w:hAnsi="Times New Roman" w:eastAsia="宋体" w:cs="Times New Roman"/>
                <w:kern w:val="0"/>
                <w:sz w:val="24"/>
                <w:szCs w:val="24"/>
              </w:rPr>
              <w:t xml:space="preserve"> 即分解出氢化锂与金属铝，并放出氢气。在空气中磨碎时可发火。受热或与湿气、水、醇、酸类接触，即发生放热反应并放出氢气而燃烧或爆炸。与强氧化剂接触猛烈反应而爆炸。</w:t>
            </w:r>
          </w:p>
        </w:tc>
        <w:tc>
          <w:tcPr>
            <w:tcW w:w="2905" w:type="dxa"/>
            <w:vAlign w:val="center"/>
          </w:tcPr>
          <w:p w14:paraId="00992ABD">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不可用水、泡沫、二氧化碳、卤代烃（如1211灭火剂）等灭火。只能用金属盖或干燥石墨粉、干燥白云石粉末将火焖熄。</w:t>
            </w:r>
          </w:p>
        </w:tc>
      </w:tr>
      <w:tr w14:paraId="6CD23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869A194">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22</w:t>
            </w:r>
          </w:p>
        </w:tc>
        <w:tc>
          <w:tcPr>
            <w:tcW w:w="1510" w:type="dxa"/>
            <w:vAlign w:val="center"/>
          </w:tcPr>
          <w:p w14:paraId="69B3ECEF">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硼氢化钠</w:t>
            </w:r>
          </w:p>
        </w:tc>
        <w:tc>
          <w:tcPr>
            <w:tcW w:w="4070" w:type="dxa"/>
            <w:vAlign w:val="center"/>
          </w:tcPr>
          <w:p w14:paraId="06B8DF01">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遇潮湿空气、水或酸能放出易燃的氢气而引起燃烧。</w:t>
            </w:r>
          </w:p>
        </w:tc>
        <w:tc>
          <w:tcPr>
            <w:tcW w:w="2905" w:type="dxa"/>
            <w:vAlign w:val="center"/>
          </w:tcPr>
          <w:p w14:paraId="21903274">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须戴好防毒面具，在安全距离以外，在上风向灭火。灭火剂：干粉、二氧化碳、砂土。禁止用水和泡沫灭火。</w:t>
            </w:r>
          </w:p>
        </w:tc>
      </w:tr>
      <w:tr w14:paraId="3E0F9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90272D0">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23</w:t>
            </w:r>
          </w:p>
        </w:tc>
        <w:tc>
          <w:tcPr>
            <w:tcW w:w="1510" w:type="dxa"/>
            <w:vAlign w:val="center"/>
          </w:tcPr>
          <w:p w14:paraId="6AE6E638">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硼氢化钾</w:t>
            </w:r>
          </w:p>
        </w:tc>
        <w:tc>
          <w:tcPr>
            <w:tcW w:w="4070" w:type="dxa"/>
            <w:vAlign w:val="center"/>
          </w:tcPr>
          <w:p w14:paraId="7E47D4AE">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遇明火、高热或与氧化剂接触，有引起燃烧爆炸的危险。遇潮湿空气、水或酸能放出易燃的氢气而引起燃烧。</w:t>
            </w:r>
          </w:p>
        </w:tc>
        <w:tc>
          <w:tcPr>
            <w:tcW w:w="2905" w:type="dxa"/>
            <w:vAlign w:val="center"/>
          </w:tcPr>
          <w:p w14:paraId="581DF788">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须戴好防毒面具，在安全距离以外，在上风向灭火。灭火剂：干粉、二氧化碳、砂土。禁止用水和泡沫灭火。</w:t>
            </w:r>
          </w:p>
        </w:tc>
      </w:tr>
      <w:tr w14:paraId="3C2F66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7ADF921">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24</w:t>
            </w:r>
          </w:p>
        </w:tc>
        <w:tc>
          <w:tcPr>
            <w:tcW w:w="1510" w:type="dxa"/>
            <w:vAlign w:val="center"/>
          </w:tcPr>
          <w:p w14:paraId="07030290">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硼氢化铝</w:t>
            </w:r>
          </w:p>
        </w:tc>
        <w:tc>
          <w:tcPr>
            <w:tcW w:w="4070" w:type="dxa"/>
            <w:vAlign w:val="center"/>
          </w:tcPr>
          <w:p w14:paraId="5A3FD575">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暴露在空气中能自燃。在潮湿空气中迅速燃烧。在氧气中，即使温度在20</w:t>
            </w:r>
            <w:r>
              <w:rPr>
                <w:rFonts w:hint="eastAsia" w:ascii="宋体" w:hAnsi="宋体" w:eastAsia="宋体" w:cs="宋体"/>
                <w:kern w:val="0"/>
                <w:sz w:val="24"/>
                <w:szCs w:val="24"/>
              </w:rPr>
              <w:t>℃</w:t>
            </w:r>
            <w:r>
              <w:rPr>
                <w:rFonts w:hint="default" w:ascii="Times New Roman" w:hAnsi="Times New Roman" w:eastAsia="宋体" w:cs="Times New Roman"/>
                <w:kern w:val="0"/>
                <w:sz w:val="24"/>
                <w:szCs w:val="24"/>
              </w:rPr>
              <w:t>也会爆炸。遇水或水蒸气、酸或酸气产生有毒的可燃性气体。与氧化剂能发生强烈反应。</w:t>
            </w:r>
          </w:p>
        </w:tc>
        <w:tc>
          <w:tcPr>
            <w:tcW w:w="2905" w:type="dxa"/>
            <w:vAlign w:val="center"/>
          </w:tcPr>
          <w:p w14:paraId="05EA670D">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尽可能将容器从火场移至空旷处。喷水保持火场容器冷却，直至灭火结束。处在火场中的容器若已变色或从安全泄压装置中产生声音，必须马上撤离。灭火剂：干粉、二氧化碳、砂土。禁止用水和泡沫灭火。</w:t>
            </w:r>
          </w:p>
        </w:tc>
      </w:tr>
      <w:tr w14:paraId="48448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2D28FED">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25</w:t>
            </w:r>
          </w:p>
        </w:tc>
        <w:tc>
          <w:tcPr>
            <w:tcW w:w="1510" w:type="dxa"/>
            <w:vAlign w:val="center"/>
          </w:tcPr>
          <w:p w14:paraId="09D7B578">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硼氢化锂</w:t>
            </w:r>
          </w:p>
        </w:tc>
        <w:tc>
          <w:tcPr>
            <w:tcW w:w="4070" w:type="dxa"/>
            <w:vAlign w:val="center"/>
          </w:tcPr>
          <w:p w14:paraId="4E733DF0">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遇明火、高热或与氧化剂接触，有引起燃烧爆炸的危险。遇潮湿空气和水发生反应放出易燃的氢气。与氯化氢反应生成氢气、乙硼烷等易燃气体，容易引起燃烧。</w:t>
            </w:r>
          </w:p>
        </w:tc>
        <w:tc>
          <w:tcPr>
            <w:tcW w:w="2905" w:type="dxa"/>
            <w:vAlign w:val="center"/>
          </w:tcPr>
          <w:p w14:paraId="622A6CD6">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须戴好防毒面具，在安全距离以外，在上风向灭火。灭火剂：干粉、二氧化碳、砂土。禁止用水和泡沫灭火。</w:t>
            </w:r>
          </w:p>
        </w:tc>
      </w:tr>
      <w:tr w14:paraId="5A40C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1DFEC6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26</w:t>
            </w:r>
          </w:p>
        </w:tc>
        <w:tc>
          <w:tcPr>
            <w:tcW w:w="1510" w:type="dxa"/>
            <w:vAlign w:val="center"/>
          </w:tcPr>
          <w:p w14:paraId="2AB25437">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碳化钙（电石）</w:t>
            </w:r>
          </w:p>
        </w:tc>
        <w:tc>
          <w:tcPr>
            <w:tcW w:w="4070" w:type="dxa"/>
            <w:vAlign w:val="center"/>
          </w:tcPr>
          <w:p w14:paraId="1ADF7653">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干燥时不燃，遇水或湿气能迅速产生高度易燃的乙炔气体，在空气中达到一定的浓度时</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可发生爆炸性灾害。与酸类物质能发生剧烈反应。</w:t>
            </w:r>
          </w:p>
        </w:tc>
        <w:tc>
          <w:tcPr>
            <w:tcW w:w="2905" w:type="dxa"/>
            <w:vAlign w:val="center"/>
          </w:tcPr>
          <w:p w14:paraId="33526339">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禁止用水和泡沫灭火。二氧化碳也无效。须用干燥石墨粉或</w:t>
            </w:r>
            <w:r>
              <w:rPr>
                <w:rFonts w:hint="eastAsia" w:ascii="Times New Roman" w:hAnsi="Times New Roman" w:eastAsia="宋体" w:cs="Times New Roman"/>
                <w:sz w:val="24"/>
                <w:szCs w:val="24"/>
                <w:lang w:eastAsia="zh-CN"/>
              </w:rPr>
              <w:t>其他</w:t>
            </w:r>
            <w:r>
              <w:rPr>
                <w:rFonts w:hint="default" w:ascii="Times New Roman" w:hAnsi="Times New Roman" w:eastAsia="宋体" w:cs="Times New Roman"/>
                <w:sz w:val="24"/>
                <w:szCs w:val="24"/>
              </w:rPr>
              <w:t>干粉灭火。</w:t>
            </w:r>
          </w:p>
        </w:tc>
      </w:tr>
      <w:tr w14:paraId="5A62CF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CC6086D">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27</w:t>
            </w:r>
          </w:p>
        </w:tc>
        <w:tc>
          <w:tcPr>
            <w:tcW w:w="1510" w:type="dxa"/>
            <w:vAlign w:val="center"/>
          </w:tcPr>
          <w:p w14:paraId="2B84F6CD">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碳化铝</w:t>
            </w:r>
          </w:p>
        </w:tc>
        <w:tc>
          <w:tcPr>
            <w:tcW w:w="4070" w:type="dxa"/>
            <w:vAlign w:val="center"/>
          </w:tcPr>
          <w:p w14:paraId="2A50765D">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与水接触，会很快放出易燃气体甲烷，遇热源或火种能引起燃烧和爆炸。与酸类物质能发生剧烈反应。</w:t>
            </w:r>
          </w:p>
        </w:tc>
        <w:tc>
          <w:tcPr>
            <w:tcW w:w="2905" w:type="dxa"/>
            <w:vAlign w:val="center"/>
          </w:tcPr>
          <w:p w14:paraId="07F73F64">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禁止用水和泡沫灭火。灭火剂：干粉、干燥砂土。</w:t>
            </w:r>
          </w:p>
        </w:tc>
      </w:tr>
      <w:tr w14:paraId="19541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23B80AA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28</w:t>
            </w:r>
          </w:p>
        </w:tc>
        <w:tc>
          <w:tcPr>
            <w:tcW w:w="1510" w:type="dxa"/>
            <w:vAlign w:val="center"/>
          </w:tcPr>
          <w:p w14:paraId="4CD4A74B">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氨基化锂</w:t>
            </w:r>
          </w:p>
        </w:tc>
        <w:tc>
          <w:tcPr>
            <w:tcW w:w="4070" w:type="dxa"/>
            <w:vAlign w:val="center"/>
          </w:tcPr>
          <w:p w14:paraId="44F20B9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遇明火、高热易引起燃烧爆炸。遇水分解放热，并散发出易燃的氨气。</w:t>
            </w:r>
          </w:p>
        </w:tc>
        <w:tc>
          <w:tcPr>
            <w:tcW w:w="2905" w:type="dxa"/>
            <w:vAlign w:val="center"/>
          </w:tcPr>
          <w:p w14:paraId="42A64345">
            <w:pPr>
              <w:spacing w:line="320" w:lineRule="exact"/>
              <w:rPr>
                <w:rFonts w:ascii="Times New Roman" w:hAnsi="Times New Roman" w:eastAsia="宋体" w:cs="Times New Roman"/>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须戴好防毒面具，在安全距离以外，在上风向灭火。灭火剂：干粉、二氧化碳、砂土。禁止用水和泡沫灭火。</w:t>
            </w:r>
          </w:p>
        </w:tc>
      </w:tr>
      <w:tr w14:paraId="5ACDF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4652E94">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29</w:t>
            </w:r>
          </w:p>
        </w:tc>
        <w:tc>
          <w:tcPr>
            <w:tcW w:w="1510" w:type="dxa"/>
            <w:vAlign w:val="center"/>
          </w:tcPr>
          <w:p w14:paraId="1E866DF1">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三溴化磷</w:t>
            </w:r>
          </w:p>
        </w:tc>
        <w:tc>
          <w:tcPr>
            <w:tcW w:w="4070" w:type="dxa"/>
            <w:vAlign w:val="center"/>
          </w:tcPr>
          <w:p w14:paraId="69A40D24">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遇水发热、冒烟甚至燃烧爆炸。具有腐蚀性。</w:t>
            </w:r>
          </w:p>
        </w:tc>
        <w:tc>
          <w:tcPr>
            <w:tcW w:w="2905" w:type="dxa"/>
            <w:vAlign w:val="center"/>
          </w:tcPr>
          <w:p w14:paraId="089D490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灭火剂：二氧化碳、砂土。禁止用水。</w:t>
            </w:r>
          </w:p>
        </w:tc>
      </w:tr>
      <w:tr w14:paraId="31F40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8293A4A">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30</w:t>
            </w:r>
          </w:p>
        </w:tc>
        <w:tc>
          <w:tcPr>
            <w:tcW w:w="1510" w:type="dxa"/>
            <w:vAlign w:val="center"/>
          </w:tcPr>
          <w:p w14:paraId="04DD47AC">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三溴化硼</w:t>
            </w:r>
          </w:p>
        </w:tc>
        <w:tc>
          <w:tcPr>
            <w:tcW w:w="4070" w:type="dxa"/>
            <w:vAlign w:val="center"/>
          </w:tcPr>
          <w:p w14:paraId="77507923">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受热或遇水分解，放出有毒的腐蚀性气体，有时会发生爆炸。具有腐蚀性。</w:t>
            </w:r>
          </w:p>
        </w:tc>
        <w:tc>
          <w:tcPr>
            <w:tcW w:w="2905" w:type="dxa"/>
            <w:vAlign w:val="center"/>
          </w:tcPr>
          <w:p w14:paraId="36FACC8E">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必须穿全身耐酸碱消防服。灭火剂：干粉、二氧化碳、干燥砂土。禁止用水。</w:t>
            </w:r>
          </w:p>
        </w:tc>
      </w:tr>
      <w:tr w14:paraId="3E711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E50DDD7">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31</w:t>
            </w:r>
          </w:p>
        </w:tc>
        <w:tc>
          <w:tcPr>
            <w:tcW w:w="1510" w:type="dxa"/>
            <w:vAlign w:val="center"/>
          </w:tcPr>
          <w:p w14:paraId="2AF2DA23">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氧氯化磷</w:t>
            </w:r>
          </w:p>
        </w:tc>
        <w:tc>
          <w:tcPr>
            <w:tcW w:w="4070" w:type="dxa"/>
            <w:vAlign w:val="center"/>
          </w:tcPr>
          <w:p w14:paraId="2D3B1110">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遇水猛烈分解</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产生大量的热和浓烟</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甚至爆炸。对很多金属尤其是潮湿空气存在下有腐蚀性。</w:t>
            </w:r>
          </w:p>
        </w:tc>
        <w:tc>
          <w:tcPr>
            <w:tcW w:w="2905" w:type="dxa"/>
            <w:vAlign w:val="center"/>
          </w:tcPr>
          <w:p w14:paraId="6A07C0E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灭火剂：干粉、干燥砂土。禁止用水。</w:t>
            </w:r>
          </w:p>
        </w:tc>
      </w:tr>
      <w:tr w14:paraId="2CDF55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8A68F05">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32</w:t>
            </w:r>
          </w:p>
        </w:tc>
        <w:tc>
          <w:tcPr>
            <w:tcW w:w="1510" w:type="dxa"/>
            <w:vAlign w:val="center"/>
          </w:tcPr>
          <w:p w14:paraId="1D2B922F">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五氯化磷</w:t>
            </w:r>
          </w:p>
        </w:tc>
        <w:tc>
          <w:tcPr>
            <w:tcW w:w="4070" w:type="dxa"/>
            <w:vAlign w:val="center"/>
          </w:tcPr>
          <w:p w14:paraId="15D0370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遇水发热、冒烟甚至燃烧爆炸。与易燃物（如苯）和可燃物（如糖、纤维素等）接触会发生剧烈反应，甚至引起燃烧。具有较强的腐蚀性。</w:t>
            </w:r>
          </w:p>
        </w:tc>
        <w:tc>
          <w:tcPr>
            <w:tcW w:w="2905" w:type="dxa"/>
            <w:vAlign w:val="center"/>
          </w:tcPr>
          <w:p w14:paraId="4133D3BD">
            <w:pPr>
              <w:spacing w:line="320" w:lineRule="exact"/>
              <w:rPr>
                <w:rFonts w:ascii="Times New Roman" w:hAnsi="Times New Roman" w:eastAsia="宋体" w:cs="Times New Roman"/>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必须穿全身耐酸碱消防服。灭火剂：干粉、二氧化碳、干燥砂土。禁止用水。</w:t>
            </w:r>
          </w:p>
        </w:tc>
      </w:tr>
      <w:tr w14:paraId="2A4A6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61512F7">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33</w:t>
            </w:r>
          </w:p>
        </w:tc>
        <w:tc>
          <w:tcPr>
            <w:tcW w:w="1510" w:type="dxa"/>
            <w:vAlign w:val="center"/>
          </w:tcPr>
          <w:p w14:paraId="506C206D">
            <w:pPr>
              <w:spacing w:line="320" w:lineRule="exact"/>
              <w:jc w:val="lef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三氯化磷</w:t>
            </w:r>
          </w:p>
        </w:tc>
        <w:tc>
          <w:tcPr>
            <w:tcW w:w="4070" w:type="dxa"/>
            <w:vAlign w:val="center"/>
          </w:tcPr>
          <w:p w14:paraId="1736D010">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遇水猛烈分解</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产生大量的热和浓烟</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甚至爆炸。对很多金属尤其是潮湿空气存在下有腐蚀性。</w:t>
            </w:r>
          </w:p>
        </w:tc>
        <w:tc>
          <w:tcPr>
            <w:tcW w:w="2905" w:type="dxa"/>
            <w:vAlign w:val="center"/>
          </w:tcPr>
          <w:p w14:paraId="69B48E36">
            <w:pPr>
              <w:spacing w:line="320" w:lineRule="exact"/>
              <w:rPr>
                <w:rFonts w:ascii="Times New Roman" w:hAnsi="Times New Roman" w:eastAsia="宋体" w:cs="Times New Roman"/>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必须穿全身耐酸碱消防服。灭火剂：干粉、二氧化碳、干燥砂土。禁止用水。</w:t>
            </w:r>
          </w:p>
        </w:tc>
      </w:tr>
      <w:tr w14:paraId="09874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6920678">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34</w:t>
            </w:r>
          </w:p>
        </w:tc>
        <w:tc>
          <w:tcPr>
            <w:tcW w:w="1510" w:type="dxa"/>
            <w:vAlign w:val="center"/>
          </w:tcPr>
          <w:p w14:paraId="6CCE0DDB">
            <w:pPr>
              <w:spacing w:line="320" w:lineRule="exact"/>
              <w:jc w:val="lef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三氯化硼</w:t>
            </w:r>
          </w:p>
        </w:tc>
        <w:tc>
          <w:tcPr>
            <w:tcW w:w="4070" w:type="dxa"/>
            <w:vAlign w:val="center"/>
          </w:tcPr>
          <w:p w14:paraId="0A3191D3">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化学反应活性很高，遇水发生爆炸性分解。与铜及其合金有可能生成具有爆炸性的氯乙炔。遇潮气时对大多数金属有强腐蚀性，也能腐蚀玻璃等。在潮湿空气中可形成白色的腐蚀性浓厚烟雾。</w:t>
            </w:r>
          </w:p>
        </w:tc>
        <w:tc>
          <w:tcPr>
            <w:tcW w:w="2905" w:type="dxa"/>
            <w:vAlign w:val="center"/>
          </w:tcPr>
          <w:p w14:paraId="48D28A8A">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本品不燃。切断气源。喷水冷却容器，可能的话将容器从火场移至空旷处。灭火剂：砂土。禁止用水和泡沫灭火。</w:t>
            </w:r>
          </w:p>
        </w:tc>
      </w:tr>
      <w:tr w14:paraId="3E1D91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9C10D0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35</w:t>
            </w:r>
          </w:p>
        </w:tc>
        <w:tc>
          <w:tcPr>
            <w:tcW w:w="1510" w:type="dxa"/>
            <w:vAlign w:val="center"/>
          </w:tcPr>
          <w:p w14:paraId="27BA5FED">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氟</w:t>
            </w:r>
          </w:p>
        </w:tc>
        <w:tc>
          <w:tcPr>
            <w:tcW w:w="4070" w:type="dxa"/>
            <w:vAlign w:val="center"/>
          </w:tcPr>
          <w:p w14:paraId="5746878D">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强氧化剂。是最活泼的非金属元素，几乎可与所有的物质发生剧烈反应而燃烧。与氢气混合时会引起爆炸。特别是与水或杂质接触时，可发生激烈反应而燃烧，使容器破裂。氟对许多金属有腐蚀性，并能形成一层保护性金属氟化物。</w:t>
            </w:r>
          </w:p>
        </w:tc>
        <w:tc>
          <w:tcPr>
            <w:tcW w:w="2905" w:type="dxa"/>
            <w:vAlign w:val="center"/>
          </w:tcPr>
          <w:p w14:paraId="29D750E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本品不燃。</w:t>
            </w: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必须穿特殊防护服，在掩蔽处操作。切断气源。须有无人操纵的定点水塔或雾状水保持火场中容器冷却，切不可将水直接喷到漏气的地方，否则会助长火势。</w:t>
            </w:r>
          </w:p>
        </w:tc>
      </w:tr>
      <w:tr w14:paraId="0B769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33E46C9">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36</w:t>
            </w:r>
          </w:p>
        </w:tc>
        <w:tc>
          <w:tcPr>
            <w:tcW w:w="1510" w:type="dxa"/>
            <w:vAlign w:val="center"/>
          </w:tcPr>
          <w:p w14:paraId="53F62A85">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三氧化硫</w:t>
            </w:r>
          </w:p>
        </w:tc>
        <w:tc>
          <w:tcPr>
            <w:tcW w:w="4070" w:type="dxa"/>
            <w:vAlign w:val="center"/>
          </w:tcPr>
          <w:p w14:paraId="0EA66B78">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与水发生爆炸性剧烈反应。与氧气、氟、氧化铅、次亚氯酸、过氯酸、磷、四氟乙烯等接触剧烈反应。与有机材料如木、棉花或草接触，会着火。吸湿性极强，在空气中产生有毒的白烟。遇潮时对大多数金属有强腐蚀性。</w:t>
            </w:r>
          </w:p>
        </w:tc>
        <w:tc>
          <w:tcPr>
            <w:tcW w:w="2905" w:type="dxa"/>
            <w:vAlign w:val="center"/>
          </w:tcPr>
          <w:p w14:paraId="4C131EA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本品不燃。</w:t>
            </w: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必须佩戴过滤式防毒面具</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全面罩</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或隔离式呼吸器、穿全身防火防毒服，在上风向灭火。尽可能将容器从火场移至空旷处。喷水保持火场容器冷却，直至灭火结束。灭火时尽量切断泄漏源，然后根据着火原因选择适当灭火剂灭火。禁止用水和泡沫灭火。</w:t>
            </w:r>
          </w:p>
        </w:tc>
      </w:tr>
      <w:tr w14:paraId="2DD938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63D53C0">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37</w:t>
            </w:r>
          </w:p>
        </w:tc>
        <w:tc>
          <w:tcPr>
            <w:tcW w:w="1510" w:type="dxa"/>
            <w:vAlign w:val="center"/>
          </w:tcPr>
          <w:p w14:paraId="4BCDF535">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过氧化钠</w:t>
            </w:r>
          </w:p>
        </w:tc>
        <w:tc>
          <w:tcPr>
            <w:tcW w:w="4070" w:type="dxa"/>
            <w:vAlign w:val="center"/>
          </w:tcPr>
          <w:p w14:paraId="415F5503">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强氧化剂。能与可燃物、有机物或易氧化物质形成爆炸性混合物，经摩擦和与少量水接触可导致燃烧或爆炸。与硫磺、酸性腐蚀液体接触时，能发生燃烧或爆炸。遇潮气、酸类会分解并放出氧气而助燃。急剧加热时可发生爆炸。具有较强的腐蚀性。</w:t>
            </w:r>
          </w:p>
        </w:tc>
        <w:tc>
          <w:tcPr>
            <w:tcW w:w="2905" w:type="dxa"/>
            <w:vAlign w:val="center"/>
          </w:tcPr>
          <w:p w14:paraId="3321C2CF">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采用干粉、砂土灭火。严禁用水、泡沫、二氧化碳扑救。</w:t>
            </w:r>
          </w:p>
        </w:tc>
      </w:tr>
      <w:tr w14:paraId="4BD890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90756A9">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38</w:t>
            </w:r>
          </w:p>
        </w:tc>
        <w:tc>
          <w:tcPr>
            <w:tcW w:w="1510" w:type="dxa"/>
            <w:vAlign w:val="center"/>
          </w:tcPr>
          <w:p w14:paraId="16B5AEA9">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过氧化钾</w:t>
            </w:r>
          </w:p>
        </w:tc>
        <w:tc>
          <w:tcPr>
            <w:tcW w:w="4070" w:type="dxa"/>
            <w:vAlign w:val="center"/>
          </w:tcPr>
          <w:p w14:paraId="4CFDA256">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强氧化剂。能与可燃物、有机物或易氧化物质形成爆炸性混合物，经摩擦和与少量水接触可导致燃烧或爆炸。与硫磺、酸性腐蚀液体接触时，能发生燃烧或爆炸。遇潮气、酸类会分解并放出氧气而助燃。急剧加热时可发生爆炸。具有较强的腐蚀性。</w:t>
            </w:r>
          </w:p>
        </w:tc>
        <w:tc>
          <w:tcPr>
            <w:tcW w:w="2905" w:type="dxa"/>
            <w:vAlign w:val="center"/>
          </w:tcPr>
          <w:p w14:paraId="49A43B0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采用干粉、砂土灭火。严禁用水、泡沫、二氧化碳扑救。</w:t>
            </w:r>
          </w:p>
        </w:tc>
      </w:tr>
      <w:tr w14:paraId="404E1D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0A4373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39</w:t>
            </w:r>
          </w:p>
        </w:tc>
        <w:tc>
          <w:tcPr>
            <w:tcW w:w="1510" w:type="dxa"/>
            <w:vAlign w:val="center"/>
          </w:tcPr>
          <w:p w14:paraId="6998041A">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过氧化钙</w:t>
            </w:r>
          </w:p>
        </w:tc>
        <w:tc>
          <w:tcPr>
            <w:tcW w:w="4070" w:type="dxa"/>
            <w:vAlign w:val="center"/>
          </w:tcPr>
          <w:p w14:paraId="565D7B6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强氧化剂。与有机物、还原剂、易燃物如硫、磷等接触或混合时有引起燃烧爆炸的危险。遇潮气逐渐分解。具有较强的腐蚀性。</w:t>
            </w:r>
          </w:p>
        </w:tc>
        <w:tc>
          <w:tcPr>
            <w:tcW w:w="2905" w:type="dxa"/>
            <w:vAlign w:val="center"/>
          </w:tcPr>
          <w:p w14:paraId="3D99DB47">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采用干粉、砂土灭火。严禁用水、泡沫、二氧化碳扑救。</w:t>
            </w:r>
          </w:p>
        </w:tc>
      </w:tr>
      <w:tr w14:paraId="6A0CC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4C6B54B1">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40</w:t>
            </w:r>
          </w:p>
        </w:tc>
        <w:tc>
          <w:tcPr>
            <w:tcW w:w="1510" w:type="dxa"/>
            <w:vAlign w:val="center"/>
          </w:tcPr>
          <w:p w14:paraId="4470A631">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过氧化锶</w:t>
            </w:r>
          </w:p>
        </w:tc>
        <w:tc>
          <w:tcPr>
            <w:tcW w:w="4070" w:type="dxa"/>
            <w:vAlign w:val="center"/>
          </w:tcPr>
          <w:p w14:paraId="4C472D0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强氧化剂。特别是在少量水的润湿下，与可燃物的混合物在轻微的碰撞或摩擦下会燃烧。水溶液为碱性腐蚀液体。</w:t>
            </w:r>
          </w:p>
        </w:tc>
        <w:tc>
          <w:tcPr>
            <w:tcW w:w="2905" w:type="dxa"/>
            <w:vAlign w:val="center"/>
          </w:tcPr>
          <w:p w14:paraId="560F6EB2">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采用干粉、砂土灭火。严禁用水、泡沫、二氧化碳扑救。</w:t>
            </w:r>
          </w:p>
        </w:tc>
      </w:tr>
      <w:tr w14:paraId="614C75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B258A8F">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41</w:t>
            </w:r>
          </w:p>
        </w:tc>
        <w:tc>
          <w:tcPr>
            <w:tcW w:w="1510" w:type="dxa"/>
            <w:vAlign w:val="center"/>
          </w:tcPr>
          <w:p w14:paraId="18E5831C">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过氧化锌</w:t>
            </w:r>
          </w:p>
        </w:tc>
        <w:tc>
          <w:tcPr>
            <w:tcW w:w="4070" w:type="dxa"/>
            <w:vAlign w:val="center"/>
          </w:tcPr>
          <w:p w14:paraId="5F52DB70">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强氧化剂。特别是在少量水的润湿下，与可燃物的混合物在轻微的碰撞或摩擦下会燃烧。遇低级醇和水起化学反应而分解。急剧加热时可发生爆炸。水溶液为碱性腐蚀液体。</w:t>
            </w:r>
          </w:p>
        </w:tc>
        <w:tc>
          <w:tcPr>
            <w:tcW w:w="2905" w:type="dxa"/>
            <w:vAlign w:val="center"/>
          </w:tcPr>
          <w:p w14:paraId="497CC78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采用干粉、砂土灭火。严禁用水、泡沫、二氧化碳扑救。</w:t>
            </w:r>
          </w:p>
        </w:tc>
      </w:tr>
      <w:tr w14:paraId="3726B5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082816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42</w:t>
            </w:r>
          </w:p>
        </w:tc>
        <w:tc>
          <w:tcPr>
            <w:tcW w:w="1510" w:type="dxa"/>
            <w:vAlign w:val="center"/>
          </w:tcPr>
          <w:p w14:paraId="7CB0A1F8">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氯磺酸（分子式 HSO</w:t>
            </w:r>
            <w:r>
              <w:rPr>
                <w:rFonts w:hint="default" w:ascii="Times New Roman" w:hAnsi="Times New Roman" w:eastAsia="宋体" w:cs="Times New Roman"/>
                <w:sz w:val="24"/>
                <w:szCs w:val="24"/>
                <w:vertAlign w:val="subscript"/>
              </w:rPr>
              <w:t>3</w:t>
            </w:r>
            <w:r>
              <w:rPr>
                <w:rFonts w:hint="default" w:ascii="Times New Roman" w:hAnsi="Times New Roman" w:eastAsia="宋体" w:cs="Times New Roman"/>
                <w:sz w:val="24"/>
                <w:szCs w:val="24"/>
              </w:rPr>
              <w:t>Cl）</w:t>
            </w:r>
          </w:p>
        </w:tc>
        <w:tc>
          <w:tcPr>
            <w:tcW w:w="4070" w:type="dxa"/>
            <w:vAlign w:val="center"/>
          </w:tcPr>
          <w:p w14:paraId="48E18736">
            <w:pPr>
              <w:spacing w:line="320" w:lineRule="exact"/>
              <w:rPr>
                <w:rFonts w:ascii="Times New Roman" w:hAnsi="Times New Roman" w:eastAsia="宋体" w:cs="Times New Roman"/>
                <w:sz w:val="24"/>
                <w:szCs w:val="24"/>
              </w:rPr>
            </w:pPr>
            <w:r>
              <w:rPr>
                <w:rFonts w:hint="default" w:ascii="Times New Roman" w:hAnsi="Times New Roman" w:eastAsia="宋体" w:cs="Times New Roman"/>
                <w:color w:val="000000"/>
                <w:kern w:val="0"/>
                <w:sz w:val="24"/>
                <w:szCs w:val="24"/>
              </w:rPr>
              <w:t>遇水猛烈分解，产生大量的热和浓烟，甚至爆炸。</w:t>
            </w:r>
          </w:p>
        </w:tc>
        <w:tc>
          <w:tcPr>
            <w:tcW w:w="2905" w:type="dxa"/>
            <w:vAlign w:val="center"/>
          </w:tcPr>
          <w:p w14:paraId="40EE94A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禁止用水和泡沫灭火。灭火剂：干粉、干燥砂土。</w:t>
            </w:r>
          </w:p>
        </w:tc>
      </w:tr>
      <w:tr w14:paraId="0C134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B97938B">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43</w:t>
            </w:r>
          </w:p>
        </w:tc>
        <w:tc>
          <w:tcPr>
            <w:tcW w:w="1510" w:type="dxa"/>
            <w:vAlign w:val="center"/>
          </w:tcPr>
          <w:p w14:paraId="715F6ACC">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氟磺酸（分子式 HSO</w:t>
            </w:r>
            <w:r>
              <w:rPr>
                <w:rFonts w:hint="default" w:ascii="Times New Roman" w:hAnsi="Times New Roman" w:eastAsia="宋体" w:cs="Times New Roman"/>
                <w:sz w:val="24"/>
                <w:szCs w:val="24"/>
                <w:vertAlign w:val="subscript"/>
              </w:rPr>
              <w:t>3</w:t>
            </w:r>
            <w:r>
              <w:rPr>
                <w:rFonts w:hint="default" w:ascii="Times New Roman" w:hAnsi="Times New Roman" w:eastAsia="宋体" w:cs="Times New Roman"/>
                <w:sz w:val="24"/>
                <w:szCs w:val="24"/>
              </w:rPr>
              <w:t>F）</w:t>
            </w:r>
          </w:p>
        </w:tc>
        <w:tc>
          <w:tcPr>
            <w:tcW w:w="4070" w:type="dxa"/>
            <w:vAlign w:val="center"/>
          </w:tcPr>
          <w:p w14:paraId="7CF006ED">
            <w:pPr>
              <w:spacing w:line="320" w:lineRule="exact"/>
              <w:rPr>
                <w:rFonts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遇水猛烈分解，产生大量的热和浓烟，甚至爆炸。</w:t>
            </w:r>
          </w:p>
        </w:tc>
        <w:tc>
          <w:tcPr>
            <w:tcW w:w="2905" w:type="dxa"/>
            <w:vAlign w:val="center"/>
          </w:tcPr>
          <w:p w14:paraId="2AA99675">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禁止用水和泡沫灭火。灭火剂：干粉、干燥砂土。</w:t>
            </w:r>
          </w:p>
        </w:tc>
      </w:tr>
      <w:tr w14:paraId="24C47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2CD6C2D">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44</w:t>
            </w:r>
          </w:p>
        </w:tc>
        <w:tc>
          <w:tcPr>
            <w:tcW w:w="1510" w:type="dxa"/>
            <w:vAlign w:val="center"/>
          </w:tcPr>
          <w:p w14:paraId="0A73D704">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三异丁基铝</w:t>
            </w:r>
          </w:p>
        </w:tc>
        <w:tc>
          <w:tcPr>
            <w:tcW w:w="4070" w:type="dxa"/>
            <w:vAlign w:val="center"/>
          </w:tcPr>
          <w:p w14:paraId="3BE366A8">
            <w:pPr>
              <w:spacing w:line="320" w:lineRule="exact"/>
              <w:rPr>
                <w:rFonts w:ascii="Times New Roman" w:hAnsi="Times New Roman" w:eastAsia="宋体" w:cs="Times New Roman"/>
                <w:sz w:val="24"/>
                <w:szCs w:val="24"/>
              </w:rPr>
            </w:pPr>
            <w:r>
              <w:rPr>
                <w:rFonts w:hint="default" w:ascii="Times New Roman" w:hAnsi="Times New Roman" w:eastAsia="宋体" w:cs="Times New Roman"/>
                <w:color w:val="000000"/>
                <w:kern w:val="0"/>
                <w:sz w:val="24"/>
                <w:szCs w:val="24"/>
              </w:rPr>
              <w:t>遇水，高温剧烈分解，放出易燃的烷烃气体。</w:t>
            </w:r>
          </w:p>
        </w:tc>
        <w:tc>
          <w:tcPr>
            <w:tcW w:w="2905" w:type="dxa"/>
            <w:vAlign w:val="center"/>
          </w:tcPr>
          <w:p w14:paraId="4E4A371E">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禁止用水和泡沫灭火。灭火剂：干粉、干燥砂土。</w:t>
            </w:r>
          </w:p>
        </w:tc>
      </w:tr>
      <w:tr w14:paraId="14D5E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66466A4">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45</w:t>
            </w:r>
          </w:p>
        </w:tc>
        <w:tc>
          <w:tcPr>
            <w:tcW w:w="1510" w:type="dxa"/>
            <w:vAlign w:val="center"/>
          </w:tcPr>
          <w:p w14:paraId="220A0788">
            <w:pPr>
              <w:spacing w:line="320" w:lineRule="exact"/>
              <w:rPr>
                <w:rFonts w:ascii="Times New Roman" w:hAnsi="Times New Roman" w:eastAsia="宋体" w:cs="Times New Roman"/>
                <w:sz w:val="24"/>
                <w:szCs w:val="24"/>
              </w:rPr>
            </w:pPr>
            <w:r>
              <w:rPr>
                <w:rFonts w:hint="default" w:ascii="Times New Roman" w:hAnsi="Times New Roman" w:eastAsia="宋体" w:cs="Times New Roman"/>
                <w:color w:val="000000"/>
                <w:kern w:val="0"/>
                <w:sz w:val="24"/>
                <w:szCs w:val="24"/>
              </w:rPr>
              <w:t>氰氨化钙</w:t>
            </w:r>
            <w:r>
              <w:rPr>
                <w:rFonts w:hint="eastAsia" w:ascii="Times New Roman" w:hAnsi="Times New Roman" w:eastAsia="宋体" w:cs="Times New Roman"/>
                <w:color w:val="000000"/>
                <w:kern w:val="0"/>
                <w:sz w:val="24"/>
                <w:szCs w:val="24"/>
                <w:lang w:eastAsia="zh-CN"/>
              </w:rPr>
              <w:t>（</w:t>
            </w:r>
            <w:r>
              <w:rPr>
                <w:rFonts w:hint="default" w:ascii="Times New Roman" w:hAnsi="Times New Roman" w:eastAsia="宋体" w:cs="Times New Roman"/>
                <w:color w:val="000000"/>
                <w:kern w:val="0"/>
                <w:sz w:val="24"/>
                <w:szCs w:val="24"/>
              </w:rPr>
              <w:t>石灰氮</w:t>
            </w:r>
            <w:r>
              <w:rPr>
                <w:rFonts w:hint="eastAsia" w:ascii="Times New Roman" w:hAnsi="Times New Roman" w:eastAsia="宋体" w:cs="Times New Roman"/>
                <w:color w:val="000000"/>
                <w:kern w:val="0"/>
                <w:sz w:val="24"/>
                <w:szCs w:val="24"/>
                <w:lang w:eastAsia="zh-CN"/>
              </w:rPr>
              <w:t>）</w:t>
            </w:r>
          </w:p>
        </w:tc>
        <w:tc>
          <w:tcPr>
            <w:tcW w:w="4070" w:type="dxa"/>
            <w:vAlign w:val="center"/>
          </w:tcPr>
          <w:p w14:paraId="4A7CB5BD">
            <w:pPr>
              <w:spacing w:line="320" w:lineRule="exact"/>
              <w:rPr>
                <w:rFonts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遇水或潮气、酸类产生易燃气体和热量，有发生燃烧爆炸的危险。如含有杂质碳化钙或少量磷化钙时，则遇水易自燃。</w:t>
            </w:r>
          </w:p>
        </w:tc>
        <w:tc>
          <w:tcPr>
            <w:tcW w:w="2905" w:type="dxa"/>
            <w:vAlign w:val="center"/>
          </w:tcPr>
          <w:p w14:paraId="157898EB">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禁止用水和泡沫灭火。灭火剂：干粉、干燥砂土。</w:t>
            </w:r>
          </w:p>
        </w:tc>
      </w:tr>
      <w:tr w14:paraId="0E0322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8A98845">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46</w:t>
            </w:r>
          </w:p>
        </w:tc>
        <w:tc>
          <w:tcPr>
            <w:tcW w:w="1510" w:type="dxa"/>
            <w:vAlign w:val="center"/>
          </w:tcPr>
          <w:p w14:paraId="6535036A">
            <w:pPr>
              <w:spacing w:line="320" w:lineRule="exact"/>
              <w:rPr>
                <w:rFonts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乙硼烷（二硼烷）</w:t>
            </w:r>
          </w:p>
        </w:tc>
        <w:tc>
          <w:tcPr>
            <w:tcW w:w="4070" w:type="dxa"/>
            <w:vAlign w:val="center"/>
          </w:tcPr>
          <w:p w14:paraId="6B6989F4">
            <w:pPr>
              <w:spacing w:line="320" w:lineRule="exact"/>
              <w:rPr>
                <w:rFonts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遇潮湿空气能自燃，与空气混合能形成爆炸性混合物。</w:t>
            </w:r>
          </w:p>
        </w:tc>
        <w:tc>
          <w:tcPr>
            <w:tcW w:w="2905" w:type="dxa"/>
            <w:vAlign w:val="center"/>
          </w:tcPr>
          <w:p w14:paraId="24638507">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禁止用水和泡沫灭火。灭火剂：干粉、干燥砂土。</w:t>
            </w:r>
          </w:p>
        </w:tc>
      </w:tr>
      <w:tr w14:paraId="73FF61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2A0B063D">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47</w:t>
            </w:r>
          </w:p>
        </w:tc>
        <w:tc>
          <w:tcPr>
            <w:tcW w:w="1510" w:type="dxa"/>
            <w:vAlign w:val="center"/>
          </w:tcPr>
          <w:p w14:paraId="5B62771A">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五硼烷（</w:t>
            </w:r>
            <w:r>
              <w:rPr>
                <w:rFonts w:ascii="Times New Roman" w:hAnsi="Times New Roman" w:eastAsia="宋体" w:cs="Times New Roman"/>
                <w:bCs/>
                <w:kern w:val="0"/>
                <w:sz w:val="24"/>
                <w:szCs w:val="24"/>
              </w:rPr>
              <w:t>B5H9</w:t>
            </w:r>
            <w:r>
              <w:rPr>
                <w:rFonts w:hint="default" w:ascii="Times New Roman" w:hAnsi="Times New Roman" w:eastAsia="宋体" w:cs="Times New Roman"/>
                <w:bCs/>
                <w:kern w:val="0"/>
                <w:sz w:val="24"/>
                <w:szCs w:val="24"/>
              </w:rPr>
              <w:t>）</w:t>
            </w:r>
          </w:p>
        </w:tc>
        <w:tc>
          <w:tcPr>
            <w:tcW w:w="4070" w:type="dxa"/>
            <w:vAlign w:val="center"/>
          </w:tcPr>
          <w:p w14:paraId="0A1A7A10">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暴露在空气中能自燃。遇明火、高热、摩擦、撞击有引起燃烧的危险。若遇高热可发生剧烈分解，引起容器破裂或爆炸事故。与强氧化剂如铬酸酐、氯酸盐和高锰酸钾等接触，能发生强烈反应，引起燃烧或爆炸。与水和水蒸气反应</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放出易爆炸着火的氢气。</w:t>
            </w:r>
          </w:p>
        </w:tc>
        <w:tc>
          <w:tcPr>
            <w:tcW w:w="2905" w:type="dxa"/>
            <w:vAlign w:val="center"/>
          </w:tcPr>
          <w:p w14:paraId="7A8ECB93">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采用干粉、二氧化碳、干砂灭火。禁止用水和泡沫灭火。</w:t>
            </w:r>
          </w:p>
        </w:tc>
      </w:tr>
      <w:tr w14:paraId="70FB4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D300C71">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48</w:t>
            </w:r>
          </w:p>
        </w:tc>
        <w:tc>
          <w:tcPr>
            <w:tcW w:w="1510" w:type="dxa"/>
            <w:vAlign w:val="center"/>
          </w:tcPr>
          <w:p w14:paraId="175CB3B5">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氰氨化钙</w:t>
            </w:r>
          </w:p>
        </w:tc>
        <w:tc>
          <w:tcPr>
            <w:tcW w:w="4070" w:type="dxa"/>
            <w:vAlign w:val="center"/>
          </w:tcPr>
          <w:p w14:paraId="3235913C">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遇水或潮气、酸类产生易燃气体和热量，有发生燃烧爆炸的危险。如含有杂质碳化钙或少量磷化钙时，则遇水易自燃。</w:t>
            </w:r>
          </w:p>
        </w:tc>
        <w:tc>
          <w:tcPr>
            <w:tcW w:w="2905" w:type="dxa"/>
            <w:vAlign w:val="center"/>
          </w:tcPr>
          <w:p w14:paraId="43604901">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须佩戴防毒面具、穿全身消防服，在上风向灭火。灭火剂：干粉、二氧化碳、砂土。禁止用水、泡沫和酸碱灭火剂灭火。</w:t>
            </w:r>
          </w:p>
        </w:tc>
      </w:tr>
      <w:tr w14:paraId="768669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4428E953">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49</w:t>
            </w:r>
          </w:p>
        </w:tc>
        <w:tc>
          <w:tcPr>
            <w:tcW w:w="1510" w:type="dxa"/>
            <w:vAlign w:val="center"/>
          </w:tcPr>
          <w:p w14:paraId="1DE2AD35">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氮化锂</w:t>
            </w:r>
          </w:p>
        </w:tc>
        <w:tc>
          <w:tcPr>
            <w:tcW w:w="4070" w:type="dxa"/>
            <w:vAlign w:val="center"/>
          </w:tcPr>
          <w:p w14:paraId="2BC1C5D6">
            <w:pPr>
              <w:spacing w:line="320" w:lineRule="exac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具有强还原性。遇水或水蒸气生成氢氧化锂和氨气。</w:t>
            </w:r>
          </w:p>
        </w:tc>
        <w:tc>
          <w:tcPr>
            <w:tcW w:w="2905" w:type="dxa"/>
            <w:vAlign w:val="center"/>
          </w:tcPr>
          <w:p w14:paraId="01F0E48E">
            <w:pPr>
              <w:spacing w:line="320" w:lineRule="exac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干粉、二氧化碳、砂土。禁止用水和泡沫灭火</w:t>
            </w:r>
          </w:p>
        </w:tc>
      </w:tr>
      <w:tr w14:paraId="6EC0F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20D8272A">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50</w:t>
            </w:r>
          </w:p>
        </w:tc>
        <w:tc>
          <w:tcPr>
            <w:tcW w:w="1510" w:type="dxa"/>
            <w:vAlign w:val="center"/>
          </w:tcPr>
          <w:p w14:paraId="231E7873">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氯化二乙基铝</w:t>
            </w:r>
          </w:p>
        </w:tc>
        <w:tc>
          <w:tcPr>
            <w:tcW w:w="4070" w:type="dxa"/>
            <w:vAlign w:val="center"/>
          </w:tcPr>
          <w:p w14:paraId="6BE44DD2">
            <w:pPr>
              <w:spacing w:line="320" w:lineRule="exac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暴露在空气或二氧化碳中会自燃；与</w:t>
            </w:r>
            <w:r>
              <w:rPr>
                <w:rFonts w:hint="default" w:ascii="Times New Roman" w:hAnsi="Times New Roman" w:eastAsia="宋体" w:cs="Times New Roman"/>
                <w:color w:val="auto"/>
                <w:kern w:val="0"/>
                <w:sz w:val="24"/>
                <w:szCs w:val="24"/>
                <w:highlight w:val="none"/>
              </w:rPr>
              <w:t>水强烈反应，甚至爆炸，生成氢氧化铝，氯化铝、乙醇，氢气。</w:t>
            </w:r>
          </w:p>
        </w:tc>
        <w:tc>
          <w:tcPr>
            <w:tcW w:w="2905" w:type="dxa"/>
            <w:vAlign w:val="center"/>
          </w:tcPr>
          <w:p w14:paraId="363C2CD3">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禁止用水灭火。采用石墨粉、纯碱、氯化钠粉末进行灭火。</w:t>
            </w:r>
          </w:p>
        </w:tc>
      </w:tr>
      <w:tr w14:paraId="6BB37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03879A8">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51</w:t>
            </w:r>
          </w:p>
        </w:tc>
        <w:tc>
          <w:tcPr>
            <w:tcW w:w="1510" w:type="dxa"/>
            <w:vAlign w:val="center"/>
          </w:tcPr>
          <w:p w14:paraId="775C96B8">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氢化钡</w:t>
            </w:r>
          </w:p>
        </w:tc>
        <w:tc>
          <w:tcPr>
            <w:tcW w:w="4070" w:type="dxa"/>
            <w:vAlign w:val="center"/>
          </w:tcPr>
          <w:p w14:paraId="33D43772">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与氧化剂和水接触生成可燃气体，可引起爆炸。</w:t>
            </w:r>
          </w:p>
        </w:tc>
        <w:tc>
          <w:tcPr>
            <w:tcW w:w="2905" w:type="dxa"/>
            <w:vAlign w:val="center"/>
          </w:tcPr>
          <w:p w14:paraId="0F687450">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采用干粉，纯碱，石灰或干砂灭火；禁止用水、泡沫灭火。</w:t>
            </w:r>
          </w:p>
        </w:tc>
      </w:tr>
      <w:tr w14:paraId="79E25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43F35A6">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52</w:t>
            </w:r>
          </w:p>
        </w:tc>
        <w:tc>
          <w:tcPr>
            <w:tcW w:w="1510" w:type="dxa"/>
            <w:vAlign w:val="center"/>
          </w:tcPr>
          <w:p w14:paraId="432EB73B">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氢化铝锂</w:t>
            </w:r>
          </w:p>
        </w:tc>
        <w:tc>
          <w:tcPr>
            <w:tcW w:w="4070" w:type="dxa"/>
            <w:vAlign w:val="center"/>
          </w:tcPr>
          <w:p w14:paraId="74FBBE2F">
            <w:pPr>
              <w:spacing w:line="320" w:lineRule="exac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粉末可在空气中自燃，遇水剧烈反应。</w:t>
            </w:r>
          </w:p>
        </w:tc>
        <w:tc>
          <w:tcPr>
            <w:tcW w:w="2905" w:type="dxa"/>
            <w:vAlign w:val="center"/>
          </w:tcPr>
          <w:p w14:paraId="48714970">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采用干粉，纯碱，石灰或干砂灭火；禁止用水、泡沫灭火。</w:t>
            </w:r>
          </w:p>
        </w:tc>
      </w:tr>
      <w:tr w14:paraId="2751C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B26AA1A">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53</w:t>
            </w:r>
          </w:p>
        </w:tc>
        <w:tc>
          <w:tcPr>
            <w:tcW w:w="1510" w:type="dxa"/>
            <w:vAlign w:val="center"/>
          </w:tcPr>
          <w:p w14:paraId="2A07BDC7">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氢化铝钠</w:t>
            </w:r>
          </w:p>
        </w:tc>
        <w:tc>
          <w:tcPr>
            <w:tcW w:w="4070" w:type="dxa"/>
            <w:vAlign w:val="center"/>
          </w:tcPr>
          <w:p w14:paraId="44B2C027">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与水接触生成可燃气体，可能引发爆炸。</w:t>
            </w:r>
          </w:p>
        </w:tc>
        <w:tc>
          <w:tcPr>
            <w:tcW w:w="2905" w:type="dxa"/>
            <w:vAlign w:val="center"/>
          </w:tcPr>
          <w:p w14:paraId="5DEE6B5B">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采用干粉，纯碱，石灰或干砂灭火；禁止用水、泡沫灭火。</w:t>
            </w:r>
          </w:p>
        </w:tc>
      </w:tr>
      <w:tr w14:paraId="024DEE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22B02D8">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54</w:t>
            </w:r>
          </w:p>
        </w:tc>
        <w:tc>
          <w:tcPr>
            <w:tcW w:w="1510" w:type="dxa"/>
            <w:vAlign w:val="center"/>
          </w:tcPr>
          <w:p w14:paraId="1C2B6754">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氢化镁</w:t>
            </w:r>
          </w:p>
        </w:tc>
        <w:tc>
          <w:tcPr>
            <w:tcW w:w="4070" w:type="dxa"/>
            <w:vAlign w:val="center"/>
          </w:tcPr>
          <w:p w14:paraId="5619A053">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与水接触生成可燃气体，可能引发爆炸。</w:t>
            </w:r>
          </w:p>
        </w:tc>
        <w:tc>
          <w:tcPr>
            <w:tcW w:w="2905" w:type="dxa"/>
            <w:vAlign w:val="center"/>
          </w:tcPr>
          <w:p w14:paraId="4831A14E">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采用干粉，纯碱，石灰或干砂灭火；禁止用水、泡沫灭火。</w:t>
            </w:r>
          </w:p>
        </w:tc>
      </w:tr>
      <w:tr w14:paraId="2D0631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F3364E2">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55</w:t>
            </w:r>
          </w:p>
        </w:tc>
        <w:tc>
          <w:tcPr>
            <w:tcW w:w="1510" w:type="dxa"/>
            <w:vAlign w:val="center"/>
          </w:tcPr>
          <w:p w14:paraId="288035EF">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铈[粉、屑]</w:t>
            </w:r>
          </w:p>
        </w:tc>
        <w:tc>
          <w:tcPr>
            <w:tcW w:w="4070" w:type="dxa"/>
            <w:vAlign w:val="center"/>
          </w:tcPr>
          <w:p w14:paraId="75870D15">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遇氧化剂、水接触产生氢气，在热水中可加剧反应，可生成腐蚀性的氢氧化铈。</w:t>
            </w:r>
          </w:p>
        </w:tc>
        <w:tc>
          <w:tcPr>
            <w:tcW w:w="2905" w:type="dxa"/>
            <w:vAlign w:val="center"/>
          </w:tcPr>
          <w:p w14:paraId="584E8241">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大量水，泡沫，粉末，二氧化碳，干砂，不可用雾状水灭火。</w:t>
            </w:r>
          </w:p>
        </w:tc>
      </w:tr>
      <w:tr w14:paraId="6C84B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455839D9">
            <w:pPr>
              <w:spacing w:line="320" w:lineRule="exact"/>
              <w:jc w:val="center"/>
              <w:rPr>
                <w:rFonts w:ascii="Times New Roman" w:hAnsi="Times New Roman" w:eastAsia="宋体" w:cs="Times New Roman"/>
                <w:color w:val="000000"/>
                <w:sz w:val="24"/>
                <w:szCs w:val="24"/>
              </w:rPr>
            </w:pPr>
            <w:r>
              <w:rPr>
                <w:rFonts w:hint="default" w:ascii="Times New Roman" w:hAnsi="Times New Roman" w:cs="Times New Roman"/>
                <w:color w:val="000000"/>
                <w:sz w:val="24"/>
                <w:szCs w:val="24"/>
              </w:rPr>
              <w:t>56</w:t>
            </w:r>
          </w:p>
        </w:tc>
        <w:tc>
          <w:tcPr>
            <w:tcW w:w="1510" w:type="dxa"/>
            <w:vAlign w:val="center"/>
          </w:tcPr>
          <w:p w14:paraId="47620F1D">
            <w:pPr>
              <w:widowControl/>
              <w:spacing w:line="320" w:lineRule="exact"/>
              <w:jc w:val="left"/>
              <w:rPr>
                <w:rFonts w:ascii="Times New Roman" w:hAnsi="Times New Roman" w:eastAsia="宋体" w:cs="Times New Roman"/>
                <w:color w:val="auto"/>
                <w:kern w:val="0"/>
                <w:sz w:val="24"/>
                <w:szCs w:val="24"/>
                <w:highlight w:val="none"/>
              </w:rPr>
            </w:pPr>
            <w:r>
              <w:rPr>
                <w:rFonts w:ascii="Times New Roman" w:hAnsi="Times New Roman" w:eastAsia="宋体" w:cs="Times New Roman"/>
                <w:color w:val="auto"/>
                <w:kern w:val="0"/>
                <w:sz w:val="24"/>
                <w:szCs w:val="24"/>
                <w:highlight w:val="none"/>
              </w:rPr>
              <w:t>烷基锂</w:t>
            </w:r>
          </w:p>
        </w:tc>
        <w:tc>
          <w:tcPr>
            <w:tcW w:w="4070" w:type="dxa"/>
            <w:vAlign w:val="center"/>
          </w:tcPr>
          <w:p w14:paraId="43BE6F59">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遇湿气可能点燃；与水接触时释放爆炸性气体和热量。</w:t>
            </w:r>
          </w:p>
        </w:tc>
        <w:tc>
          <w:tcPr>
            <w:tcW w:w="2905" w:type="dxa"/>
            <w:vAlign w:val="center"/>
          </w:tcPr>
          <w:p w14:paraId="338DC321">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采用干砂，金属灭火器（氯化钠）进行灭火；不可用水灭火。</w:t>
            </w:r>
          </w:p>
        </w:tc>
      </w:tr>
      <w:tr w14:paraId="59683F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061" w:type="dxa"/>
            <w:gridSpan w:val="4"/>
            <w:vAlign w:val="center"/>
          </w:tcPr>
          <w:p w14:paraId="52D3C036">
            <w:pPr>
              <w:spacing w:line="320" w:lineRule="exact"/>
              <w:jc w:val="left"/>
              <w:rPr>
                <w:rFonts w:ascii="黑体" w:hAnsi="黑体" w:eastAsia="黑体" w:cs="Times New Roman"/>
                <w:kern w:val="0"/>
                <w:sz w:val="24"/>
                <w:szCs w:val="24"/>
              </w:rPr>
            </w:pPr>
            <w:r>
              <w:rPr>
                <w:rFonts w:hint="default" w:ascii="黑体" w:hAnsi="黑体" w:eastAsia="黑体" w:cs="Times New Roman"/>
                <w:b w:val="0"/>
                <w:sz w:val="24"/>
                <w:szCs w:val="24"/>
              </w:rPr>
              <w:t>二、遇水反应有燃烧危险的物质</w:t>
            </w:r>
          </w:p>
        </w:tc>
      </w:tr>
      <w:tr w14:paraId="07917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624BFE6">
            <w:pPr>
              <w:spacing w:line="320" w:lineRule="exact"/>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5</w:t>
            </w:r>
            <w:r>
              <w:rPr>
                <w:rFonts w:hint="eastAsia" w:ascii="Times New Roman" w:hAnsi="Times New Roman" w:eastAsia="宋体" w:cs="Times New Roman"/>
                <w:sz w:val="24"/>
                <w:szCs w:val="24"/>
                <w:lang w:val="en-US" w:eastAsia="zh-CN"/>
              </w:rPr>
              <w:t>7</w:t>
            </w:r>
          </w:p>
        </w:tc>
        <w:tc>
          <w:tcPr>
            <w:tcW w:w="1510" w:type="dxa"/>
            <w:vAlign w:val="center"/>
          </w:tcPr>
          <w:p w14:paraId="76C697CC">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保险粉（连二亚硫酸钠、低亚硫酸钠）</w:t>
            </w:r>
          </w:p>
        </w:tc>
        <w:tc>
          <w:tcPr>
            <w:tcW w:w="4070" w:type="dxa"/>
            <w:vAlign w:val="center"/>
          </w:tcPr>
          <w:p w14:paraId="65360CD6">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强还原剂。250</w:t>
            </w:r>
            <w:r>
              <w:rPr>
                <w:rFonts w:hint="eastAsia" w:ascii="宋体" w:hAnsi="宋体" w:eastAsia="宋体" w:cs="宋体"/>
                <w:kern w:val="0"/>
                <w:sz w:val="24"/>
                <w:szCs w:val="24"/>
              </w:rPr>
              <w:t>℃</w:t>
            </w:r>
            <w:r>
              <w:rPr>
                <w:rFonts w:hint="default" w:ascii="Times New Roman" w:hAnsi="Times New Roman" w:eastAsia="宋体" w:cs="Times New Roman"/>
                <w:kern w:val="0"/>
                <w:sz w:val="24"/>
                <w:szCs w:val="24"/>
              </w:rPr>
              <w:t xml:space="preserve"> 时能自燃。加热或接触明火能燃烧。暴露在空气中会被氧化而变质。遇水、酸类或与有机物、氧化剂接触，都可放出大量热而引起剧烈燃烧，并放出有毒和易燃的二氧化硫。</w:t>
            </w:r>
          </w:p>
        </w:tc>
        <w:tc>
          <w:tcPr>
            <w:tcW w:w="2905" w:type="dxa"/>
            <w:vAlign w:val="center"/>
          </w:tcPr>
          <w:p w14:paraId="24B34351">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尽可能将容器从火场移至空旷处。灭火剂：干粉、二氧化碳、砂土。禁止用水。</w:t>
            </w:r>
          </w:p>
        </w:tc>
      </w:tr>
      <w:tr w14:paraId="46D4B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AB9C147">
            <w:pPr>
              <w:spacing w:line="320" w:lineRule="exact"/>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5</w:t>
            </w:r>
            <w:r>
              <w:rPr>
                <w:rFonts w:hint="eastAsia" w:ascii="Times New Roman" w:hAnsi="Times New Roman" w:eastAsia="宋体" w:cs="Times New Roman"/>
                <w:sz w:val="24"/>
                <w:szCs w:val="24"/>
                <w:lang w:val="en-US" w:eastAsia="zh-CN"/>
              </w:rPr>
              <w:t>8</w:t>
            </w:r>
          </w:p>
        </w:tc>
        <w:tc>
          <w:tcPr>
            <w:tcW w:w="1510" w:type="dxa"/>
            <w:vAlign w:val="center"/>
          </w:tcPr>
          <w:p w14:paraId="5C1A87CF">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连二亚硫酸钾</w:t>
            </w:r>
          </w:p>
        </w:tc>
        <w:tc>
          <w:tcPr>
            <w:tcW w:w="4070" w:type="dxa"/>
            <w:vAlign w:val="center"/>
          </w:tcPr>
          <w:p w14:paraId="02F0A6B8">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遇水、酸类或与有机物、氧化剂接触，都可放出大量热而引起剧烈燃烧，并放出有毒和易燃的二氧化硫。</w:t>
            </w:r>
          </w:p>
        </w:tc>
        <w:tc>
          <w:tcPr>
            <w:tcW w:w="2905" w:type="dxa"/>
            <w:vAlign w:val="center"/>
          </w:tcPr>
          <w:p w14:paraId="39E68734">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尽可能将容器从火场移至空旷处。灭火剂：干粉、二氧化碳、砂土。禁止用水。</w:t>
            </w:r>
          </w:p>
        </w:tc>
      </w:tr>
      <w:tr w14:paraId="1E893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8929D90">
            <w:pPr>
              <w:spacing w:line="320" w:lineRule="exact"/>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5</w:t>
            </w:r>
            <w:r>
              <w:rPr>
                <w:rFonts w:hint="eastAsia" w:ascii="Times New Roman" w:hAnsi="Times New Roman" w:eastAsia="宋体" w:cs="Times New Roman"/>
                <w:sz w:val="24"/>
                <w:szCs w:val="24"/>
                <w:lang w:val="en-US" w:eastAsia="zh-CN"/>
              </w:rPr>
              <w:t>9</w:t>
            </w:r>
          </w:p>
        </w:tc>
        <w:tc>
          <w:tcPr>
            <w:tcW w:w="1510" w:type="dxa"/>
            <w:vAlign w:val="center"/>
          </w:tcPr>
          <w:p w14:paraId="54FDECC4">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连二亚硫酸钙</w:t>
            </w:r>
          </w:p>
        </w:tc>
        <w:tc>
          <w:tcPr>
            <w:tcW w:w="4070" w:type="dxa"/>
            <w:vAlign w:val="center"/>
          </w:tcPr>
          <w:p w14:paraId="42729648">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遇水、酸类或与有机物、氧化剂接触，都可放出大量热而引起剧烈燃烧，并放出有毒和易燃的二氧化硫。</w:t>
            </w:r>
          </w:p>
        </w:tc>
        <w:tc>
          <w:tcPr>
            <w:tcW w:w="2905" w:type="dxa"/>
            <w:vAlign w:val="center"/>
          </w:tcPr>
          <w:p w14:paraId="4B1E136C">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尽可能将容器从火场移至空旷处。灭火剂：干粉、二氧化碳、砂土。禁止用水。</w:t>
            </w:r>
          </w:p>
        </w:tc>
      </w:tr>
      <w:tr w14:paraId="65E8FB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E44B2BA">
            <w:pPr>
              <w:spacing w:line="320" w:lineRule="exact"/>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0</w:t>
            </w:r>
          </w:p>
        </w:tc>
        <w:tc>
          <w:tcPr>
            <w:tcW w:w="1510" w:type="dxa"/>
            <w:vAlign w:val="center"/>
          </w:tcPr>
          <w:p w14:paraId="5536F922">
            <w:pPr>
              <w:spacing w:line="320" w:lineRule="exact"/>
              <w:rPr>
                <w:rFonts w:hint="default" w:ascii="Times New Roman" w:hAnsi="Times New Roman" w:eastAsia="宋体" w:cs="Times New Roman"/>
                <w:bCs/>
                <w:kern w:val="0"/>
                <w:sz w:val="24"/>
                <w:szCs w:val="24"/>
                <w:lang w:val="en-US" w:eastAsia="zh-CN"/>
              </w:rPr>
            </w:pPr>
            <w:r>
              <w:rPr>
                <w:rFonts w:hint="default" w:ascii="Times New Roman" w:hAnsi="Times New Roman" w:eastAsia="宋体" w:cs="Times New Roman"/>
                <w:bCs/>
                <w:kern w:val="0"/>
                <w:sz w:val="24"/>
                <w:szCs w:val="24"/>
                <w:lang w:val="en-US" w:eastAsia="zh-CN"/>
              </w:rPr>
              <w:t>连二亚硫酸锌</w:t>
            </w:r>
          </w:p>
          <w:p w14:paraId="2421F53A">
            <w:pPr>
              <w:spacing w:line="320" w:lineRule="exact"/>
              <w:rPr>
                <w:rFonts w:hint="default" w:ascii="Times New Roman" w:hAnsi="Times New Roman" w:eastAsia="宋体" w:cs="Times New Roman"/>
                <w:bCs/>
                <w:kern w:val="0"/>
                <w:sz w:val="24"/>
                <w:szCs w:val="24"/>
                <w:lang w:val="en-US" w:eastAsia="zh-CN"/>
              </w:rPr>
            </w:pPr>
          </w:p>
        </w:tc>
        <w:tc>
          <w:tcPr>
            <w:tcW w:w="4070" w:type="dxa"/>
            <w:vAlign w:val="center"/>
          </w:tcPr>
          <w:p w14:paraId="29B5673E">
            <w:pPr>
              <w:spacing w:line="320" w:lineRule="exact"/>
              <w:rPr>
                <w:rFonts w:hint="default" w:ascii="Times New Roman" w:hAnsi="Times New Roman" w:eastAsia="宋体" w:cs="Times New Roman"/>
                <w:bCs/>
                <w:kern w:val="0"/>
                <w:sz w:val="24"/>
                <w:szCs w:val="24"/>
                <w:lang w:val="en-US" w:eastAsia="zh-CN"/>
              </w:rPr>
            </w:pPr>
            <w:r>
              <w:rPr>
                <w:rFonts w:hint="default" w:ascii="Times New Roman" w:hAnsi="Times New Roman" w:eastAsia="宋体" w:cs="Times New Roman"/>
                <w:bCs/>
                <w:kern w:val="0"/>
                <w:sz w:val="24"/>
                <w:szCs w:val="24"/>
              </w:rPr>
              <w:t>遇水、酸类或与有机物、氧化剂接触，都可放出大量热而引起剧烈燃烧，并放出有毒和易燃的二氧化硫。</w:t>
            </w:r>
          </w:p>
        </w:tc>
        <w:tc>
          <w:tcPr>
            <w:tcW w:w="2905" w:type="dxa"/>
            <w:vAlign w:val="center"/>
          </w:tcPr>
          <w:p w14:paraId="0C8323BB">
            <w:pPr>
              <w:spacing w:line="320" w:lineRule="exact"/>
              <w:rPr>
                <w:rFonts w:hint="default" w:ascii="Times New Roman" w:hAnsi="Times New Roman" w:eastAsia="宋体" w:cs="Times New Roman"/>
                <w:bCs/>
                <w:kern w:val="0"/>
                <w:sz w:val="24"/>
                <w:szCs w:val="24"/>
                <w:lang w:val="en-US" w:eastAsia="zh-CN"/>
              </w:rPr>
            </w:pPr>
            <w:r>
              <w:rPr>
                <w:rFonts w:hint="default" w:ascii="Times New Roman" w:hAnsi="Times New Roman" w:eastAsia="宋体" w:cs="Times New Roman"/>
                <w:bCs/>
                <w:kern w:val="0"/>
                <w:sz w:val="24"/>
                <w:szCs w:val="24"/>
              </w:rPr>
              <w:t>尽可能将容器从火场移至空旷处。灭火剂：干粉、二氧化碳、砂土。禁止用水。</w:t>
            </w:r>
          </w:p>
        </w:tc>
      </w:tr>
      <w:tr w14:paraId="568E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1655042">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1</w:t>
            </w:r>
          </w:p>
        </w:tc>
        <w:tc>
          <w:tcPr>
            <w:tcW w:w="1510" w:type="dxa"/>
            <w:vAlign w:val="center"/>
          </w:tcPr>
          <w:p w14:paraId="2E939D7B">
            <w:pPr>
              <w:spacing w:line="320" w:lineRule="exact"/>
              <w:rPr>
                <w:rFonts w:ascii="Times New Roman" w:hAnsi="Times New Roman" w:eastAsia="宋体" w:cs="Times New Roman"/>
                <w:sz w:val="24"/>
                <w:szCs w:val="24"/>
              </w:rPr>
            </w:pPr>
            <w:r>
              <w:rPr>
                <w:rFonts w:ascii="Times New Roman" w:hAnsi="Times New Roman" w:eastAsia="宋体" w:cs="Times New Roman"/>
                <w:bCs/>
                <w:sz w:val="24"/>
                <w:szCs w:val="24"/>
              </w:rPr>
              <w:t>硼酸三甲酯</w:t>
            </w:r>
          </w:p>
        </w:tc>
        <w:tc>
          <w:tcPr>
            <w:tcW w:w="4070" w:type="dxa"/>
            <w:vAlign w:val="center"/>
          </w:tcPr>
          <w:p w14:paraId="5C1B2166">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其蒸气与空气可形成爆炸性混合物，遇明火、高热极易燃烧爆炸。与氧化剂接触猛烈反应。遇水或水蒸气反应放出有毒和易燃的气体。其蒸气比空气重，能在较低处扩散到相当远的地方，遇火源会着火回燃。若遇高热，容器内压增大，有开裂和爆炸的危险。</w:t>
            </w:r>
          </w:p>
        </w:tc>
        <w:tc>
          <w:tcPr>
            <w:tcW w:w="2905" w:type="dxa"/>
            <w:vAlign w:val="center"/>
          </w:tcPr>
          <w:p w14:paraId="02BCF7DB">
            <w:pPr>
              <w:spacing w:line="320" w:lineRule="exact"/>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应急处置人员</w:t>
            </w:r>
            <w:r>
              <w:rPr>
                <w:rFonts w:hint="default" w:ascii="Times New Roman" w:hAnsi="Times New Roman" w:eastAsia="宋体" w:cs="Times New Roman"/>
                <w:sz w:val="24"/>
                <w:szCs w:val="24"/>
              </w:rPr>
              <w:t>须佩戴防毒面具、穿全身消防服，在上风向灭火。尽可能将容器从火场移至空旷处。处在火场中的容器若已变色或从安全泄压装置中产生声音，必须马上撤离。</w:t>
            </w:r>
          </w:p>
          <w:p w14:paraId="7B57D251">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干粉、二氧化碳、砂土。禁止用水和泡沫灭火。</w:t>
            </w:r>
          </w:p>
        </w:tc>
      </w:tr>
      <w:tr w14:paraId="415537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85178E3">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2</w:t>
            </w:r>
          </w:p>
        </w:tc>
        <w:tc>
          <w:tcPr>
            <w:tcW w:w="1510" w:type="dxa"/>
            <w:vAlign w:val="center"/>
          </w:tcPr>
          <w:p w14:paraId="6B9EA1BB">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硫氢化钠</w:t>
            </w:r>
          </w:p>
        </w:tc>
        <w:tc>
          <w:tcPr>
            <w:tcW w:w="4070" w:type="dxa"/>
            <w:vAlign w:val="center"/>
          </w:tcPr>
          <w:p w14:paraId="332CDB78">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在潮湿空气中迅速分解成氢氧化钠和硫化钠，并放热，易自燃。</w:t>
            </w:r>
          </w:p>
        </w:tc>
        <w:tc>
          <w:tcPr>
            <w:tcW w:w="2905" w:type="dxa"/>
            <w:vAlign w:val="center"/>
          </w:tcPr>
          <w:p w14:paraId="2355C6E4">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必须佩戴过滤式防毒面具</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全面罩</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或隔离式呼吸器、穿全身防火防毒服，在上风向灭火。尽可能将容器从火场移至空旷处。喷水保持火场容器冷却，直至灭火结束。处在火场中的容器若已变色或从安全泄压装置中产生声音，必须马上撤离。灭火剂：雾状水、泡沫、干粉、二氧化碳、砂土。</w:t>
            </w:r>
          </w:p>
        </w:tc>
      </w:tr>
      <w:tr w14:paraId="6A46FD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3D1096F8">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3</w:t>
            </w:r>
          </w:p>
        </w:tc>
        <w:tc>
          <w:tcPr>
            <w:tcW w:w="1510" w:type="dxa"/>
            <w:vAlign w:val="center"/>
          </w:tcPr>
          <w:p w14:paraId="64300F15">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三硫化二磷</w:t>
            </w:r>
          </w:p>
        </w:tc>
        <w:tc>
          <w:tcPr>
            <w:tcW w:w="4070" w:type="dxa"/>
            <w:vAlign w:val="center"/>
          </w:tcPr>
          <w:p w14:paraId="7427A207">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受热或摩擦极易燃烧。与潮湿空气接触会发热，散发出有毒和易燃的气体。与大多数氧化剂如氯酸盐、硝酸盐、高氯酸盐或</w:t>
            </w:r>
            <w:r>
              <w:rPr>
                <w:rFonts w:hint="eastAsia" w:ascii="Times New Roman" w:hAnsi="Times New Roman" w:eastAsia="宋体" w:cs="Times New Roman"/>
                <w:kern w:val="0"/>
                <w:sz w:val="24"/>
                <w:szCs w:val="24"/>
                <w:lang w:eastAsia="zh-CN"/>
              </w:rPr>
              <w:t>高锰酸盐</w:t>
            </w:r>
            <w:r>
              <w:rPr>
                <w:rFonts w:hint="default" w:ascii="Times New Roman" w:hAnsi="Times New Roman" w:eastAsia="宋体" w:cs="Times New Roman"/>
                <w:kern w:val="0"/>
                <w:sz w:val="24"/>
                <w:szCs w:val="24"/>
              </w:rPr>
              <w:t>等组成敏感度极高的爆炸性混合物。</w:t>
            </w:r>
          </w:p>
        </w:tc>
        <w:tc>
          <w:tcPr>
            <w:tcW w:w="2905" w:type="dxa"/>
            <w:vAlign w:val="center"/>
          </w:tcPr>
          <w:p w14:paraId="0EFECBD6">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须佩戴防毒面具、穿全身消防服，在上风向灭火。灭火剂：干粉、二氧化碳、砂土。禁止用水和泡沫灭火。</w:t>
            </w:r>
          </w:p>
        </w:tc>
      </w:tr>
      <w:tr w14:paraId="3348E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E0CDDDA">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4</w:t>
            </w:r>
          </w:p>
        </w:tc>
        <w:tc>
          <w:tcPr>
            <w:tcW w:w="1510" w:type="dxa"/>
            <w:vAlign w:val="center"/>
          </w:tcPr>
          <w:p w14:paraId="62E5EC86">
            <w:pPr>
              <w:spacing w:line="320" w:lineRule="exact"/>
              <w:rPr>
                <w:rFonts w:ascii="Times New Roman" w:hAnsi="Times New Roman" w:eastAsia="宋体" w:cs="Times New Roman"/>
                <w:sz w:val="24"/>
                <w:szCs w:val="24"/>
              </w:rPr>
            </w:pPr>
            <w:r>
              <w:rPr>
                <w:rFonts w:hint="default" w:ascii="Times New Roman" w:hAnsi="Times New Roman" w:eastAsia="宋体" w:cs="Times New Roman"/>
                <w:bCs/>
                <w:kern w:val="0"/>
                <w:sz w:val="24"/>
                <w:szCs w:val="24"/>
              </w:rPr>
              <w:t>五硫化二磷</w:t>
            </w:r>
          </w:p>
        </w:tc>
        <w:tc>
          <w:tcPr>
            <w:tcW w:w="4070" w:type="dxa"/>
            <w:vAlign w:val="center"/>
          </w:tcPr>
          <w:p w14:paraId="73D8284A">
            <w:pPr>
              <w:spacing w:line="320" w:lineRule="exact"/>
              <w:rPr>
                <w:rFonts w:ascii="Times New Roman" w:hAnsi="Times New Roman" w:eastAsia="宋体" w:cs="Times New Roman"/>
                <w:sz w:val="24"/>
                <w:szCs w:val="24"/>
              </w:rPr>
            </w:pPr>
            <w:r>
              <w:rPr>
                <w:rFonts w:hint="default" w:ascii="Times New Roman" w:hAnsi="Times New Roman" w:eastAsia="宋体" w:cs="Times New Roman"/>
                <w:kern w:val="0"/>
                <w:sz w:val="24"/>
                <w:szCs w:val="24"/>
              </w:rPr>
              <w:t>遇明火、高热、摩擦、撞击有引起燃烧的危险。受热分解，放出磷、硫的氧化物等毒性气体。燃烧时放出有毒的刺激性烟雾。与潮湿空气接触会发热以至燃烧。与大多数氧化剂如氯酸盐、硝酸盐、高氯酸盐或</w:t>
            </w:r>
            <w:r>
              <w:rPr>
                <w:rFonts w:hint="eastAsia" w:ascii="Times New Roman" w:hAnsi="Times New Roman" w:eastAsia="宋体" w:cs="Times New Roman"/>
                <w:kern w:val="0"/>
                <w:sz w:val="24"/>
                <w:szCs w:val="24"/>
                <w:lang w:eastAsia="zh-CN"/>
              </w:rPr>
              <w:t>高锰酸盐</w:t>
            </w:r>
            <w:r>
              <w:rPr>
                <w:rFonts w:hint="default" w:ascii="Times New Roman" w:hAnsi="Times New Roman" w:eastAsia="宋体" w:cs="Times New Roman"/>
                <w:kern w:val="0"/>
                <w:sz w:val="24"/>
                <w:szCs w:val="24"/>
              </w:rPr>
              <w:t>等组成敏感度极高的爆炸性混合物。遇水或潮湿空气分解成有腐蚀和刺激作用的磷酸及硫化氢气体。</w:t>
            </w:r>
          </w:p>
        </w:tc>
        <w:tc>
          <w:tcPr>
            <w:tcW w:w="2905" w:type="dxa"/>
            <w:vAlign w:val="center"/>
          </w:tcPr>
          <w:p w14:paraId="344147B9">
            <w:pPr>
              <w:spacing w:line="320" w:lineRule="exact"/>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应急处置人员</w:t>
            </w:r>
            <w:r>
              <w:rPr>
                <w:rFonts w:hint="default" w:ascii="Times New Roman" w:hAnsi="Times New Roman" w:eastAsia="宋体" w:cs="Times New Roman"/>
                <w:sz w:val="24"/>
                <w:szCs w:val="24"/>
              </w:rPr>
              <w:t>必须穿全身防火防毒服，在上风向灭火。灭火剂：二氧化碳、干粉、砂土。</w:t>
            </w:r>
          </w:p>
        </w:tc>
      </w:tr>
      <w:tr w14:paraId="765B8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237CFCD">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5</w:t>
            </w:r>
          </w:p>
        </w:tc>
        <w:tc>
          <w:tcPr>
            <w:tcW w:w="1510" w:type="dxa"/>
            <w:vAlign w:val="center"/>
          </w:tcPr>
          <w:p w14:paraId="59E4A45E">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七硫化四磷</w:t>
            </w:r>
          </w:p>
        </w:tc>
        <w:tc>
          <w:tcPr>
            <w:tcW w:w="4070" w:type="dxa"/>
            <w:vAlign w:val="center"/>
          </w:tcPr>
          <w:p w14:paraId="2EBA0EE8">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受热或摩擦极易燃烧。与潮湿空气接触会发热以至燃烧。与大多数氧化剂如氯酸盐、硝酸盐、高氯酸盐或</w:t>
            </w:r>
            <w:r>
              <w:rPr>
                <w:rFonts w:hint="eastAsia" w:ascii="Times New Roman" w:hAnsi="Times New Roman" w:eastAsia="宋体" w:cs="Times New Roman"/>
                <w:kern w:val="0"/>
                <w:sz w:val="24"/>
                <w:szCs w:val="24"/>
                <w:lang w:eastAsia="zh-CN"/>
              </w:rPr>
              <w:t>高锰酸盐</w:t>
            </w:r>
            <w:r>
              <w:rPr>
                <w:rFonts w:hint="default" w:ascii="Times New Roman" w:hAnsi="Times New Roman" w:eastAsia="宋体" w:cs="Times New Roman"/>
                <w:kern w:val="0"/>
                <w:sz w:val="24"/>
                <w:szCs w:val="24"/>
              </w:rPr>
              <w:t>等组成敏感度极高的爆炸性混合物。</w:t>
            </w:r>
          </w:p>
        </w:tc>
        <w:tc>
          <w:tcPr>
            <w:tcW w:w="2905" w:type="dxa"/>
            <w:vAlign w:val="center"/>
          </w:tcPr>
          <w:p w14:paraId="381B2A91">
            <w:pPr>
              <w:spacing w:line="320" w:lineRule="exact"/>
              <w:rPr>
                <w:rFonts w:ascii="Times New Roman" w:hAnsi="Times New Roman" w:eastAsia="宋体" w:cs="Times New Roman"/>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须佩戴防毒面具、穿全身消防服，在上风向灭火。灭火剂：干粉、二氧化碳、砂土。禁止用水和泡沫灭火。</w:t>
            </w:r>
          </w:p>
        </w:tc>
      </w:tr>
      <w:tr w14:paraId="27A536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7D37321">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6</w:t>
            </w:r>
          </w:p>
        </w:tc>
        <w:tc>
          <w:tcPr>
            <w:tcW w:w="1510" w:type="dxa"/>
            <w:vAlign w:val="center"/>
          </w:tcPr>
          <w:p w14:paraId="750AFEAF">
            <w:pPr>
              <w:spacing w:line="320" w:lineRule="exact"/>
              <w:rPr>
                <w:rFonts w:ascii="Times New Roman" w:hAnsi="Times New Roman" w:eastAsia="宋体" w:cs="Times New Roman"/>
                <w:sz w:val="24"/>
                <w:szCs w:val="24"/>
              </w:rPr>
            </w:pPr>
            <w:r>
              <w:rPr>
                <w:rFonts w:ascii="Times New Roman" w:hAnsi="Times New Roman" w:eastAsia="宋体" w:cs="Times New Roman"/>
                <w:bCs/>
                <w:sz w:val="24"/>
                <w:szCs w:val="24"/>
              </w:rPr>
              <w:t>丁基锂</w:t>
            </w:r>
          </w:p>
        </w:tc>
        <w:tc>
          <w:tcPr>
            <w:tcW w:w="4070" w:type="dxa"/>
            <w:vAlign w:val="center"/>
          </w:tcPr>
          <w:p w14:paraId="36609F56">
            <w:pPr>
              <w:spacing w:line="320" w:lineRule="exact"/>
              <w:rPr>
                <w:rFonts w:ascii="Times New Roman" w:hAnsi="Times New Roman" w:eastAsia="宋体" w:cs="Times New Roman"/>
                <w:sz w:val="24"/>
                <w:szCs w:val="24"/>
              </w:rPr>
            </w:pPr>
            <w:r>
              <w:rPr>
                <w:rFonts w:hint="default" w:ascii="Times New Roman" w:hAnsi="Times New Roman" w:eastAsia="宋体" w:cs="Times New Roman"/>
                <w:sz w:val="24"/>
                <w:szCs w:val="24"/>
              </w:rPr>
              <w:t>化学反应活性很高，与空气接触会着火。与水、酸类、卤素类、醇类和胺类接触，会发生强烈反应。</w:t>
            </w:r>
          </w:p>
        </w:tc>
        <w:tc>
          <w:tcPr>
            <w:tcW w:w="2905" w:type="dxa"/>
            <w:vAlign w:val="center"/>
          </w:tcPr>
          <w:p w14:paraId="46D3CBAD">
            <w:pPr>
              <w:spacing w:line="320" w:lineRule="exact"/>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应急处置人员</w:t>
            </w:r>
            <w:r>
              <w:rPr>
                <w:rFonts w:hint="default" w:ascii="Times New Roman" w:hAnsi="Times New Roman" w:eastAsia="宋体" w:cs="Times New Roman"/>
                <w:sz w:val="24"/>
                <w:szCs w:val="24"/>
              </w:rPr>
              <w:t>必须穿全身防火防毒服，在上风向灭火。干粉、干砂。禁止使用水、泡沫或卤化物灭火剂。</w:t>
            </w:r>
          </w:p>
        </w:tc>
      </w:tr>
      <w:tr w14:paraId="62BBA7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438A2ED3">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67</w:t>
            </w:r>
          </w:p>
        </w:tc>
        <w:tc>
          <w:tcPr>
            <w:tcW w:w="1510" w:type="dxa"/>
            <w:vAlign w:val="center"/>
          </w:tcPr>
          <w:p w14:paraId="17D72AE5">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乙硼烷（</w:t>
            </w:r>
            <w:r>
              <w:rPr>
                <w:rFonts w:ascii="Times New Roman" w:hAnsi="Times New Roman" w:eastAsia="宋体" w:cs="Times New Roman"/>
                <w:bCs/>
                <w:kern w:val="0"/>
                <w:sz w:val="24"/>
                <w:szCs w:val="24"/>
              </w:rPr>
              <w:t>B2H6</w:t>
            </w:r>
            <w:r>
              <w:rPr>
                <w:rFonts w:hint="default" w:ascii="Times New Roman" w:hAnsi="Times New Roman" w:eastAsia="宋体" w:cs="Times New Roman"/>
                <w:bCs/>
                <w:kern w:val="0"/>
                <w:sz w:val="24"/>
                <w:szCs w:val="24"/>
              </w:rPr>
              <w:t>）</w:t>
            </w:r>
          </w:p>
        </w:tc>
        <w:tc>
          <w:tcPr>
            <w:tcW w:w="4070" w:type="dxa"/>
            <w:vAlign w:val="center"/>
          </w:tcPr>
          <w:p w14:paraId="2716B641">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极易燃，与空气混合能形成爆炸性混合物。遇热源和明火有燃烧爆炸的危险。在室温下遇潮湿空气能自燃。与氟、氯、溴等卤素会剧烈反应并能与氟氯烷灭火剂猛烈反应。</w:t>
            </w:r>
          </w:p>
        </w:tc>
        <w:tc>
          <w:tcPr>
            <w:tcW w:w="2905" w:type="dxa"/>
            <w:vAlign w:val="center"/>
          </w:tcPr>
          <w:p w14:paraId="6CB1E190">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切断气源。若不能切断气源，则不允许熄灭泄漏处的火焰。喷水冷却容器，可能的话将容器从火场移至空旷处。灭火剂：二氧化碳。禁止用水和泡沫灭火。</w:t>
            </w:r>
          </w:p>
        </w:tc>
      </w:tr>
      <w:tr w14:paraId="4A6CA3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22F317A4">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68</w:t>
            </w:r>
          </w:p>
        </w:tc>
        <w:tc>
          <w:tcPr>
            <w:tcW w:w="1510" w:type="dxa"/>
            <w:vAlign w:val="center"/>
          </w:tcPr>
          <w:p w14:paraId="36820DF3">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十硼烷（</w:t>
            </w:r>
            <w:r>
              <w:rPr>
                <w:rFonts w:ascii="Times New Roman" w:hAnsi="Times New Roman" w:eastAsia="宋体" w:cs="Times New Roman"/>
                <w:bCs/>
                <w:kern w:val="0"/>
                <w:sz w:val="24"/>
                <w:szCs w:val="24"/>
              </w:rPr>
              <w:t>B10H14</w:t>
            </w:r>
            <w:r>
              <w:rPr>
                <w:rFonts w:hint="default" w:ascii="Times New Roman" w:hAnsi="Times New Roman" w:eastAsia="宋体" w:cs="Times New Roman"/>
                <w:bCs/>
                <w:kern w:val="0"/>
                <w:sz w:val="24"/>
                <w:szCs w:val="24"/>
              </w:rPr>
              <w:t>）</w:t>
            </w:r>
          </w:p>
        </w:tc>
        <w:tc>
          <w:tcPr>
            <w:tcW w:w="4070" w:type="dxa"/>
            <w:vAlign w:val="center"/>
          </w:tcPr>
          <w:p w14:paraId="7E1471DA">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具有强还原性。遇水、潮湿空气、酸类、氧化剂、高热及明火能引起燃烧。</w:t>
            </w:r>
          </w:p>
        </w:tc>
        <w:tc>
          <w:tcPr>
            <w:tcW w:w="2905" w:type="dxa"/>
            <w:vAlign w:val="center"/>
          </w:tcPr>
          <w:p w14:paraId="0DBF7E26">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采用二氧化碳、砂土灭火。禁止用水和泡沫灭火。</w:t>
            </w:r>
          </w:p>
        </w:tc>
      </w:tr>
      <w:tr w14:paraId="178FE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11544DA">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6</w:t>
            </w:r>
            <w:r>
              <w:rPr>
                <w:rFonts w:hint="eastAsia" w:ascii="Times New Roman" w:hAnsi="Times New Roman" w:eastAsia="宋体" w:cs="Times New Roman"/>
                <w:sz w:val="24"/>
                <w:szCs w:val="24"/>
                <w:lang w:val="en-US" w:eastAsia="zh-CN"/>
              </w:rPr>
              <w:t>9</w:t>
            </w:r>
          </w:p>
        </w:tc>
        <w:tc>
          <w:tcPr>
            <w:tcW w:w="1510" w:type="dxa"/>
            <w:vAlign w:val="center"/>
          </w:tcPr>
          <w:p w14:paraId="00427E49">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二乙基锌</w:t>
            </w:r>
          </w:p>
        </w:tc>
        <w:tc>
          <w:tcPr>
            <w:tcW w:w="4070" w:type="dxa"/>
            <w:vAlign w:val="center"/>
          </w:tcPr>
          <w:p w14:paraId="43A7BA6A">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在潮湿空气中能自燃。加热时可能发生爆炸。化学反应活性较高，能与烯烃、十二碘甲烷、二氧化硫发生爆炸性反应。能和溴、水、硝基化合物发生剧烈反应。接触空气、臭氧、甲醇或胂能着火。和非金属卤化物剧烈反应生成可自燃的产物。</w:t>
            </w:r>
          </w:p>
        </w:tc>
        <w:tc>
          <w:tcPr>
            <w:tcW w:w="2905" w:type="dxa"/>
            <w:vAlign w:val="center"/>
          </w:tcPr>
          <w:p w14:paraId="5ABC82D9">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必须佩戴过滤式防毒面具</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全面罩</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或隔离式呼吸器、穿全身防火防毒服，在上风向灭火。尽可能将容器从火场移至空旷处。喷水保持火场容器冷却，直至灭火结束。处在火场中的容器若已变色或从安全泄压装置中产生声音，必须马上撤离。灭火剂：干粉、二氧化碳、砂土。禁止用水和泡沫灭火。</w:t>
            </w:r>
          </w:p>
        </w:tc>
      </w:tr>
      <w:tr w14:paraId="510F88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07DB53D7">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7</w:t>
            </w:r>
            <w:r>
              <w:rPr>
                <w:rFonts w:hint="eastAsia" w:ascii="Times New Roman" w:hAnsi="Times New Roman" w:eastAsia="宋体" w:cs="Times New Roman"/>
                <w:sz w:val="24"/>
                <w:szCs w:val="24"/>
                <w:lang w:val="en-US" w:eastAsia="zh-CN"/>
              </w:rPr>
              <w:t>0</w:t>
            </w:r>
          </w:p>
        </w:tc>
        <w:tc>
          <w:tcPr>
            <w:tcW w:w="1510" w:type="dxa"/>
            <w:vAlign w:val="center"/>
          </w:tcPr>
          <w:p w14:paraId="72A015A3">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三乙基铝</w:t>
            </w:r>
          </w:p>
        </w:tc>
        <w:tc>
          <w:tcPr>
            <w:tcW w:w="4070" w:type="dxa"/>
            <w:vAlign w:val="center"/>
          </w:tcPr>
          <w:p w14:paraId="1A7A101B">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化学反应活性很高，接触空气会冒烟自燃。对微量的氧及水分反应极其灵敏，易引起燃烧爆炸。与酸、卤素、醇、胺类接触发生剧烈反应。遇水强烈分解</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放出易燃的烷烃气体。</w:t>
            </w:r>
          </w:p>
        </w:tc>
        <w:tc>
          <w:tcPr>
            <w:tcW w:w="2905" w:type="dxa"/>
            <w:vAlign w:val="center"/>
          </w:tcPr>
          <w:p w14:paraId="7B8D7C69">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采用干粉、干砂灭火。禁止用水和泡沫灭火。</w:t>
            </w:r>
          </w:p>
        </w:tc>
      </w:tr>
      <w:tr w14:paraId="2E1859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B4653E3">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7</w:t>
            </w:r>
            <w:r>
              <w:rPr>
                <w:rFonts w:hint="eastAsia" w:ascii="Times New Roman" w:hAnsi="Times New Roman" w:eastAsia="宋体" w:cs="Times New Roman"/>
                <w:sz w:val="24"/>
                <w:szCs w:val="24"/>
                <w:lang w:val="en-US" w:eastAsia="zh-CN"/>
              </w:rPr>
              <w:t>1</w:t>
            </w:r>
          </w:p>
        </w:tc>
        <w:tc>
          <w:tcPr>
            <w:tcW w:w="1510" w:type="dxa"/>
            <w:vAlign w:val="center"/>
          </w:tcPr>
          <w:p w14:paraId="08087D3C">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三乙基锑</w:t>
            </w:r>
          </w:p>
        </w:tc>
        <w:tc>
          <w:tcPr>
            <w:tcW w:w="4070" w:type="dxa"/>
            <w:vAlign w:val="center"/>
          </w:tcPr>
          <w:p w14:paraId="50B40FF7">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自燃物品。遇空气、氧气、水、四氯化碳、卤代烷、三乙基硼、氧化剂和高热</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 xml:space="preserve"> 都有引起燃烧爆炸的危险。具有腐蚀性。</w:t>
            </w:r>
          </w:p>
        </w:tc>
        <w:tc>
          <w:tcPr>
            <w:tcW w:w="2905" w:type="dxa"/>
            <w:vAlign w:val="center"/>
          </w:tcPr>
          <w:p w14:paraId="6FDCA3B2">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采用干粉、干砂灭火。禁止用水和泡沫灭火。</w:t>
            </w:r>
          </w:p>
        </w:tc>
      </w:tr>
      <w:tr w14:paraId="2E31A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5D2E3528">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7</w:t>
            </w:r>
            <w:r>
              <w:rPr>
                <w:rFonts w:hint="eastAsia" w:ascii="Times New Roman" w:hAnsi="Times New Roman" w:eastAsia="宋体" w:cs="Times New Roman"/>
                <w:sz w:val="24"/>
                <w:szCs w:val="24"/>
                <w:lang w:val="en-US" w:eastAsia="zh-CN"/>
              </w:rPr>
              <w:t>2</w:t>
            </w:r>
          </w:p>
        </w:tc>
        <w:tc>
          <w:tcPr>
            <w:tcW w:w="1510" w:type="dxa"/>
            <w:vAlign w:val="center"/>
          </w:tcPr>
          <w:p w14:paraId="211FA636">
            <w:pPr>
              <w:spacing w:line="320" w:lineRule="exact"/>
              <w:rPr>
                <w:rFonts w:ascii="Times New Roman" w:hAnsi="Times New Roman" w:eastAsia="宋体" w:cs="Times New Roman"/>
                <w:bCs/>
                <w:kern w:val="0"/>
                <w:sz w:val="24"/>
                <w:szCs w:val="24"/>
              </w:rPr>
            </w:pPr>
            <w:r>
              <w:rPr>
                <w:rFonts w:hint="default" w:ascii="Times New Roman" w:hAnsi="Times New Roman" w:eastAsia="宋体" w:cs="Times New Roman"/>
                <w:bCs/>
                <w:kern w:val="0"/>
                <w:sz w:val="24"/>
                <w:szCs w:val="24"/>
              </w:rPr>
              <w:t>三乙基硼</w:t>
            </w:r>
          </w:p>
        </w:tc>
        <w:tc>
          <w:tcPr>
            <w:tcW w:w="4070" w:type="dxa"/>
            <w:vAlign w:val="center"/>
          </w:tcPr>
          <w:p w14:paraId="2A393F1D">
            <w:pPr>
              <w:spacing w:line="320" w:lineRule="exact"/>
              <w:rPr>
                <w:rFonts w:ascii="Times New Roman" w:hAnsi="Times New Roman" w:eastAsia="宋体" w:cs="Times New Roman"/>
                <w:kern w:val="0"/>
                <w:sz w:val="24"/>
                <w:szCs w:val="24"/>
              </w:rPr>
            </w:pPr>
            <w:r>
              <w:rPr>
                <w:rFonts w:hint="default" w:ascii="Times New Roman" w:hAnsi="Times New Roman" w:eastAsia="宋体" w:cs="Times New Roman"/>
                <w:kern w:val="0"/>
                <w:sz w:val="24"/>
                <w:szCs w:val="24"/>
              </w:rPr>
              <w:t>接触空气、氧、氧化剂有引起自燃的危险。遇水分解放出易燃气体。加热分解产生易燃的有毒气体。</w:t>
            </w:r>
          </w:p>
        </w:tc>
        <w:tc>
          <w:tcPr>
            <w:tcW w:w="2905" w:type="dxa"/>
            <w:vAlign w:val="center"/>
          </w:tcPr>
          <w:p w14:paraId="582DB599">
            <w:pPr>
              <w:spacing w:line="320" w:lineRule="exac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lang w:eastAsia="zh-CN"/>
              </w:rPr>
              <w:t>应急处置人员</w:t>
            </w:r>
            <w:r>
              <w:rPr>
                <w:rFonts w:hint="default" w:ascii="Times New Roman" w:hAnsi="Times New Roman" w:eastAsia="宋体" w:cs="Times New Roman"/>
                <w:kern w:val="0"/>
                <w:sz w:val="24"/>
                <w:szCs w:val="24"/>
              </w:rPr>
              <w:t>须佩戴防毒面具、穿全身消防服，在上风向灭火。尽可能将容器从火场移至空旷处。喷水保持火场容器冷却，直至灭火结束。处在火场中的容器若已变色或从安全泄压装置中产生声音，必须马上撤离。灭火剂：干粉、二氧化碳、砂土。禁止用水和泡沫灭火。</w:t>
            </w:r>
          </w:p>
        </w:tc>
      </w:tr>
      <w:tr w14:paraId="57F1D8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17388A58">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7</w:t>
            </w:r>
            <w:r>
              <w:rPr>
                <w:rFonts w:hint="eastAsia" w:ascii="Times New Roman" w:hAnsi="Times New Roman" w:eastAsia="宋体" w:cs="Times New Roman"/>
                <w:sz w:val="24"/>
                <w:szCs w:val="24"/>
                <w:lang w:val="en-US" w:eastAsia="zh-CN"/>
              </w:rPr>
              <w:t>3</w:t>
            </w:r>
          </w:p>
        </w:tc>
        <w:tc>
          <w:tcPr>
            <w:tcW w:w="1510" w:type="dxa"/>
            <w:vAlign w:val="center"/>
          </w:tcPr>
          <w:p w14:paraId="62CC2097">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二甲基锌</w:t>
            </w:r>
          </w:p>
        </w:tc>
        <w:tc>
          <w:tcPr>
            <w:tcW w:w="4070" w:type="dxa"/>
            <w:vAlign w:val="center"/>
          </w:tcPr>
          <w:p w14:paraId="05357E26">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在空气中自燃，与空气接触会产生刺激性和轻微毒性的烟雾。遇水或水蒸气剧烈反应生成甲烷。</w:t>
            </w:r>
          </w:p>
        </w:tc>
        <w:tc>
          <w:tcPr>
            <w:tcW w:w="2905" w:type="dxa"/>
            <w:vAlign w:val="center"/>
          </w:tcPr>
          <w:p w14:paraId="6115AB6D">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禁止用水，泡沫，二氧化碳，干粉等灭火。须用干燥石墨粉或</w:t>
            </w:r>
            <w:r>
              <w:rPr>
                <w:rFonts w:hint="eastAsia" w:ascii="Times New Roman" w:hAnsi="Times New Roman" w:eastAsia="宋体" w:cs="Times New Roman"/>
                <w:color w:val="auto"/>
                <w:kern w:val="0"/>
                <w:sz w:val="24"/>
                <w:szCs w:val="24"/>
                <w:highlight w:val="none"/>
                <w:lang w:eastAsia="zh-CN"/>
              </w:rPr>
              <w:t>其他</w:t>
            </w:r>
            <w:r>
              <w:rPr>
                <w:rFonts w:hint="default" w:ascii="Times New Roman" w:hAnsi="Times New Roman" w:eastAsia="宋体" w:cs="Times New Roman"/>
                <w:color w:val="auto"/>
                <w:kern w:val="0"/>
                <w:sz w:val="24"/>
                <w:szCs w:val="24"/>
                <w:highlight w:val="none"/>
              </w:rPr>
              <w:t>惰性粉末灭火。</w:t>
            </w:r>
          </w:p>
        </w:tc>
      </w:tr>
      <w:tr w14:paraId="05729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66141C51">
            <w:pPr>
              <w:spacing w:line="320" w:lineRule="exact"/>
              <w:jc w:val="center"/>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eastAsia="zh-CN"/>
              </w:rPr>
              <w:t>7</w:t>
            </w:r>
            <w:r>
              <w:rPr>
                <w:rFonts w:hint="eastAsia" w:ascii="Times New Roman" w:hAnsi="Times New Roman" w:eastAsia="宋体" w:cs="Times New Roman"/>
                <w:sz w:val="24"/>
                <w:szCs w:val="24"/>
                <w:lang w:val="en-US" w:eastAsia="zh-CN"/>
              </w:rPr>
              <w:t>4</w:t>
            </w:r>
          </w:p>
        </w:tc>
        <w:tc>
          <w:tcPr>
            <w:tcW w:w="1510" w:type="dxa"/>
            <w:vAlign w:val="center"/>
          </w:tcPr>
          <w:p w14:paraId="553D167E">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二苯基镁</w:t>
            </w:r>
          </w:p>
        </w:tc>
        <w:tc>
          <w:tcPr>
            <w:tcW w:w="4070" w:type="dxa"/>
            <w:vAlign w:val="center"/>
          </w:tcPr>
          <w:p w14:paraId="7CC7E48F">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高度易燃。暴露于空气中可能自燃。遇水引起爆炸。</w:t>
            </w:r>
          </w:p>
        </w:tc>
        <w:tc>
          <w:tcPr>
            <w:tcW w:w="2905" w:type="dxa"/>
            <w:vAlign w:val="center"/>
          </w:tcPr>
          <w:p w14:paraId="0E6774E6">
            <w:pPr>
              <w:spacing w:line="320" w:lineRule="exact"/>
              <w:rPr>
                <w:rFonts w:ascii="Times New Roman" w:hAnsi="Times New Roman" w:eastAsia="宋体" w:cs="Times New Roman"/>
                <w:kern w:val="0"/>
                <w:sz w:val="24"/>
                <w:szCs w:val="24"/>
                <w:highlight w:val="none"/>
              </w:rPr>
            </w:pPr>
          </w:p>
        </w:tc>
      </w:tr>
      <w:tr w14:paraId="1ABCA3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76" w:type="dxa"/>
            <w:vAlign w:val="center"/>
          </w:tcPr>
          <w:p w14:paraId="7F6751EB">
            <w:pPr>
              <w:spacing w:line="320" w:lineRule="exact"/>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75</w:t>
            </w:r>
          </w:p>
        </w:tc>
        <w:tc>
          <w:tcPr>
            <w:tcW w:w="1510" w:type="dxa"/>
            <w:vAlign w:val="center"/>
          </w:tcPr>
          <w:p w14:paraId="23E67B1B">
            <w:pPr>
              <w:spacing w:line="320" w:lineRule="exact"/>
              <w:jc w:val="left"/>
              <w:rPr>
                <w:rFonts w:ascii="Times New Roman" w:hAnsi="Times New Roman" w:eastAsia="宋体" w:cs="Times New Roman"/>
                <w:bCs w:val="0"/>
                <w:color w:val="auto"/>
                <w:kern w:val="0"/>
                <w:sz w:val="24"/>
                <w:szCs w:val="24"/>
                <w:highlight w:val="none"/>
              </w:rPr>
            </w:pPr>
            <w:r>
              <w:rPr>
                <w:rFonts w:ascii="Times New Roman" w:hAnsi="Times New Roman" w:eastAsia="宋体" w:cs="Times New Roman"/>
                <w:color w:val="auto"/>
                <w:kern w:val="0"/>
                <w:sz w:val="24"/>
                <w:szCs w:val="24"/>
                <w:highlight w:val="none"/>
              </w:rPr>
              <w:t>二甲基镁</w:t>
            </w:r>
          </w:p>
        </w:tc>
        <w:tc>
          <w:tcPr>
            <w:tcW w:w="4070" w:type="dxa"/>
            <w:vAlign w:val="center"/>
          </w:tcPr>
          <w:p w14:paraId="0BBFABCF">
            <w:pPr>
              <w:spacing w:line="320" w:lineRule="exact"/>
              <w:rPr>
                <w:rFonts w:ascii="Times New Roman" w:hAnsi="Times New Roman" w:eastAsia="宋体" w:cs="Times New Roman"/>
                <w:color w:val="auto"/>
                <w:kern w:val="0"/>
                <w:sz w:val="24"/>
                <w:szCs w:val="24"/>
                <w:highlight w:val="none"/>
              </w:rPr>
            </w:pPr>
            <w:r>
              <w:rPr>
                <w:rFonts w:hint="default" w:ascii="Times New Roman" w:hAnsi="Times New Roman" w:eastAsia="宋体" w:cs="Times New Roman"/>
                <w:color w:val="auto"/>
                <w:kern w:val="0"/>
                <w:sz w:val="24"/>
                <w:szCs w:val="24"/>
                <w:highlight w:val="none"/>
              </w:rPr>
              <w:t>高度易燃。暴露于空气中可能自燃。遇水引起爆炸。</w:t>
            </w:r>
          </w:p>
        </w:tc>
        <w:tc>
          <w:tcPr>
            <w:tcW w:w="2905" w:type="dxa"/>
            <w:vAlign w:val="center"/>
          </w:tcPr>
          <w:p w14:paraId="544D0F7E">
            <w:pPr>
              <w:spacing w:line="320" w:lineRule="exact"/>
              <w:rPr>
                <w:rFonts w:ascii="Times New Roman" w:hAnsi="Times New Roman" w:eastAsia="宋体" w:cs="Times New Roman"/>
                <w:kern w:val="0"/>
                <w:sz w:val="24"/>
                <w:szCs w:val="24"/>
                <w:highlight w:val="none"/>
              </w:rPr>
            </w:pPr>
          </w:p>
        </w:tc>
      </w:tr>
    </w:tbl>
    <w:p w14:paraId="1F93C749">
      <w:pPr>
        <w:spacing w:line="480" w:lineRule="exact"/>
        <w:rPr>
          <w:rFonts w:ascii="仿宋_GB2312" w:hAnsi="Times New Roman" w:eastAsia="仿宋_GB2312" w:cs="仿宋_GB2312"/>
          <w:sz w:val="28"/>
          <w:szCs w:val="28"/>
        </w:rPr>
      </w:pPr>
      <w:r>
        <w:rPr>
          <w:rFonts w:hint="eastAsia" w:ascii="楷体" w:hAnsi="楷体" w:eastAsia="楷体" w:cs="楷体"/>
          <w:sz w:val="28"/>
          <w:szCs w:val="24"/>
          <w:shd w:val="clear" w:color="auto" w:fill="FFFFFF"/>
          <w:lang w:val="en-US" w:eastAsia="zh-CN"/>
        </w:rPr>
        <w:t>来源：湖北省应急管理厅办公室关于遇水反应化学品的安全提示（2020年6月29日）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97ED6AE-7C95-4C3C-99B7-B6E23C8EDF4A}"/>
  </w:font>
  <w:font w:name="黑体">
    <w:panose1 w:val="02010609060101010101"/>
    <w:charset w:val="86"/>
    <w:family w:val="auto"/>
    <w:pitch w:val="default"/>
    <w:sig w:usb0="800002BF" w:usb1="38CF7CFA" w:usb2="00000016" w:usb3="00000000" w:csb0="00040001" w:csb1="00000000"/>
    <w:embedRegular r:id="rId2" w:fontKey="{F5930237-FF87-451E-AB3F-E5F8C7E8C32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B013A37F-8350-4F4A-939B-963688DF7ACF}"/>
  </w:font>
  <w:font w:name="方正小标宋简体">
    <w:panose1 w:val="02000000000000000000"/>
    <w:charset w:val="86"/>
    <w:family w:val="auto"/>
    <w:pitch w:val="default"/>
    <w:sig w:usb0="00000001" w:usb1="08000000" w:usb2="00000000" w:usb3="00000000" w:csb0="00040000" w:csb1="00000000"/>
    <w:embedRegular r:id="rId4" w:fontKey="{023C8523-FCDC-4CB2-B50C-863151ECA1EC}"/>
  </w:font>
  <w:font w:name="仿宋_GB2312">
    <w:panose1 w:val="02010609030101010101"/>
    <w:charset w:val="86"/>
    <w:family w:val="modern"/>
    <w:pitch w:val="default"/>
    <w:sig w:usb0="00000001" w:usb1="080E0000" w:usb2="00000000" w:usb3="00000000" w:csb0="00040000" w:csb1="00000000"/>
    <w:embedRegular r:id="rId5" w:fontKey="{037E0A68-9E67-49FD-A77C-FBB2AB63950C}"/>
  </w:font>
  <w:font w:name="楷体_GB2312">
    <w:panose1 w:val="02010609030101010101"/>
    <w:charset w:val="86"/>
    <w:family w:val="modern"/>
    <w:pitch w:val="default"/>
    <w:sig w:usb0="00000001" w:usb1="080E0000" w:usb2="00000000" w:usb3="00000000" w:csb0="00040000" w:csb1="00000000"/>
    <w:embedRegular r:id="rId6" w:fontKey="{9E82B89F-1967-426F-87C1-10DC2E6ACA25}"/>
  </w:font>
  <w:font w:name="仿宋">
    <w:panose1 w:val="02010609060101010101"/>
    <w:charset w:val="86"/>
    <w:family w:val="auto"/>
    <w:pitch w:val="default"/>
    <w:sig w:usb0="800002BF" w:usb1="38CF7CFA" w:usb2="00000016" w:usb3="00000000" w:csb0="00040001" w:csb1="00000000"/>
    <w:embedRegular r:id="rId7" w:fontKey="{DB54A2EB-231B-4E2E-9AB7-094F90C93673}"/>
  </w:font>
  <w:font w:name="楷体">
    <w:panose1 w:val="02010609060101010101"/>
    <w:charset w:val="86"/>
    <w:family w:val="auto"/>
    <w:pitch w:val="default"/>
    <w:sig w:usb0="800002BF" w:usb1="38CF7CFA" w:usb2="00000016" w:usb3="00000000" w:csb0="00040001" w:csb1="00000000"/>
    <w:embedRegular r:id="rId8" w:fontKey="{51DEF4CD-6E57-4480-B11B-ABAB456115D8}"/>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F3C6C2"/>
    <w:multiLevelType w:val="singleLevel"/>
    <w:tmpl w:val="B7F3C6C2"/>
    <w:lvl w:ilvl="0" w:tentative="0">
      <w:start w:val="1"/>
      <w:numFmt w:val="chineseCounting"/>
      <w:suff w:val="space"/>
      <w:lvlText w:val="第%1条"/>
      <w:lvlJc w:val="left"/>
      <w:rPr>
        <w:rFonts w:hint="eastAsia"/>
      </w:rPr>
    </w:lvl>
  </w:abstractNum>
  <w:abstractNum w:abstractNumId="1">
    <w:nsid w:val="0BB3D6D0"/>
    <w:multiLevelType w:val="singleLevel"/>
    <w:tmpl w:val="0BB3D6D0"/>
    <w:lvl w:ilvl="0" w:tentative="0">
      <w:start w:val="6"/>
      <w:numFmt w:val="chineseCounting"/>
      <w:suff w:val="nothing"/>
      <w:lvlText w:val="%1、"/>
      <w:lvlJc w:val="left"/>
      <w:rPr>
        <w:rFonts w:hint="eastAsia"/>
      </w:rPr>
    </w:lvl>
  </w:abstractNum>
  <w:abstractNum w:abstractNumId="2">
    <w:nsid w:val="3A0C5576"/>
    <w:multiLevelType w:val="singleLevel"/>
    <w:tmpl w:val="3A0C5576"/>
    <w:lvl w:ilvl="0" w:tentative="0">
      <w:start w:val="1"/>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5"/>
  <w:displayBackgroundShape w:val="1"/>
  <w:embedTrueTypeFonts/>
  <w:saveSubsetFonts/>
  <w:bordersDoNotSurroundHeader w:val="1"/>
  <w:bordersDoNotSurroundFooter w:val="1"/>
  <w:doNotTrackMoves/>
  <w:documentProtection w:enforcement="0"/>
  <w:defaultTabStop w:val="420"/>
  <w:doNotHyphenateCaps/>
  <w:drawingGridVerticalSpacing w:val="156"/>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RjOTc4ZTA4Y2MyOTlkMDJhYmFmMDIxMTI0NWJjOWYifQ=="/>
    <w:docVar w:name="KY_MEDREF_DOCUID" w:val="{07C7E287-7DC3-4FA3-8536-5D166AF8DE60}"/>
    <w:docVar w:name="KY_MEDREF_VERSION" w:val="3"/>
  </w:docVars>
  <w:rsids>
    <w:rsidRoot w:val="00DA0C62"/>
    <w:rsid w:val="00074556"/>
    <w:rsid w:val="00082E4C"/>
    <w:rsid w:val="0009568D"/>
    <w:rsid w:val="000B7298"/>
    <w:rsid w:val="000E3747"/>
    <w:rsid w:val="001013C7"/>
    <w:rsid w:val="00104342"/>
    <w:rsid w:val="00120FF1"/>
    <w:rsid w:val="00171E3A"/>
    <w:rsid w:val="00174208"/>
    <w:rsid w:val="001F57AA"/>
    <w:rsid w:val="002D451C"/>
    <w:rsid w:val="00301916"/>
    <w:rsid w:val="00375DF5"/>
    <w:rsid w:val="0038242A"/>
    <w:rsid w:val="00396AAD"/>
    <w:rsid w:val="003F248E"/>
    <w:rsid w:val="004510CE"/>
    <w:rsid w:val="004C4BEC"/>
    <w:rsid w:val="00531B2A"/>
    <w:rsid w:val="00545FAD"/>
    <w:rsid w:val="00553C1A"/>
    <w:rsid w:val="00567DBE"/>
    <w:rsid w:val="00580B47"/>
    <w:rsid w:val="005A3DB2"/>
    <w:rsid w:val="005D7ADD"/>
    <w:rsid w:val="005F15CF"/>
    <w:rsid w:val="00607DC6"/>
    <w:rsid w:val="00685277"/>
    <w:rsid w:val="006927F2"/>
    <w:rsid w:val="006C44AF"/>
    <w:rsid w:val="00714BDC"/>
    <w:rsid w:val="00792F38"/>
    <w:rsid w:val="0079322E"/>
    <w:rsid w:val="007A7D2D"/>
    <w:rsid w:val="007C7D54"/>
    <w:rsid w:val="008B3FA7"/>
    <w:rsid w:val="008B7D1A"/>
    <w:rsid w:val="008C1898"/>
    <w:rsid w:val="008D7CD9"/>
    <w:rsid w:val="00AA4981"/>
    <w:rsid w:val="00AD1D04"/>
    <w:rsid w:val="00AD53BE"/>
    <w:rsid w:val="00B0115D"/>
    <w:rsid w:val="00B87104"/>
    <w:rsid w:val="00B872C1"/>
    <w:rsid w:val="00BD3CF8"/>
    <w:rsid w:val="00C32D93"/>
    <w:rsid w:val="00C419E1"/>
    <w:rsid w:val="00C42A64"/>
    <w:rsid w:val="00CB2D21"/>
    <w:rsid w:val="00D80D39"/>
    <w:rsid w:val="00DA0C62"/>
    <w:rsid w:val="00E249ED"/>
    <w:rsid w:val="00EB3343"/>
    <w:rsid w:val="00EB71E7"/>
    <w:rsid w:val="00F1465F"/>
    <w:rsid w:val="00F95A61"/>
    <w:rsid w:val="013023C5"/>
    <w:rsid w:val="08777616"/>
    <w:rsid w:val="0AD72DF4"/>
    <w:rsid w:val="147439D7"/>
    <w:rsid w:val="190B0397"/>
    <w:rsid w:val="1C9B29FC"/>
    <w:rsid w:val="22650C3B"/>
    <w:rsid w:val="26004212"/>
    <w:rsid w:val="26BB20B8"/>
    <w:rsid w:val="27B04AF8"/>
    <w:rsid w:val="2C316DB3"/>
    <w:rsid w:val="2CFC1B23"/>
    <w:rsid w:val="2D3D1FB9"/>
    <w:rsid w:val="2EC23B73"/>
    <w:rsid w:val="35A055AA"/>
    <w:rsid w:val="35B415E4"/>
    <w:rsid w:val="36874AB4"/>
    <w:rsid w:val="36F65751"/>
    <w:rsid w:val="422B2070"/>
    <w:rsid w:val="46E91DED"/>
    <w:rsid w:val="4AF51243"/>
    <w:rsid w:val="4D5E211C"/>
    <w:rsid w:val="4D854E31"/>
    <w:rsid w:val="50EA164D"/>
    <w:rsid w:val="526D2C1D"/>
    <w:rsid w:val="54143B54"/>
    <w:rsid w:val="54160BC3"/>
    <w:rsid w:val="575A2420"/>
    <w:rsid w:val="5ACC4499"/>
    <w:rsid w:val="5BDE467E"/>
    <w:rsid w:val="5E52548D"/>
    <w:rsid w:val="5EC11B44"/>
    <w:rsid w:val="609C6BF0"/>
    <w:rsid w:val="63C943D5"/>
    <w:rsid w:val="68344EC4"/>
    <w:rsid w:val="74997C4E"/>
    <w:rsid w:val="76AC761B"/>
    <w:rsid w:val="791409F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name="header"/>
    <w:lsdException w:qFormat="1" w:unhideWhenUsed="0" w:uiPriority="99"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59"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1"/>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qFormat/>
    <w:uiPriority w:val="99"/>
    <w:rPr>
      <w:sz w:val="18"/>
      <w:szCs w:val="18"/>
    </w:rPr>
  </w:style>
  <w:style w:type="paragraph" w:styleId="3">
    <w:name w:val="footer"/>
    <w:basedOn w:val="1"/>
    <w:link w:val="10"/>
    <w:semiHidden/>
    <w:qFormat/>
    <w:uiPriority w:val="99"/>
    <w:pPr>
      <w:tabs>
        <w:tab w:val="center" w:pos="4153"/>
        <w:tab w:val="right" w:pos="8306"/>
      </w:tabs>
      <w:snapToGrid w:val="0"/>
      <w:jc w:val="left"/>
    </w:pPr>
    <w:rPr>
      <w:sz w:val="18"/>
      <w:szCs w:val="18"/>
    </w:rPr>
  </w:style>
  <w:style w:type="paragraph" w:styleId="4">
    <w:name w:val="header"/>
    <w:basedOn w:val="1"/>
    <w:link w:val="9"/>
    <w:semiHidden/>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table" w:styleId="7">
    <w:name w:val="Table Grid"/>
    <w:basedOn w:val="6"/>
    <w:qFormat/>
    <w:locked/>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页眉 字符"/>
    <w:link w:val="4"/>
    <w:semiHidden/>
    <w:qFormat/>
    <w:locked/>
    <w:uiPriority w:val="99"/>
    <w:rPr>
      <w:sz w:val="18"/>
      <w:szCs w:val="18"/>
    </w:rPr>
  </w:style>
  <w:style w:type="character" w:customStyle="1" w:styleId="10">
    <w:name w:val="页脚 字符"/>
    <w:link w:val="3"/>
    <w:semiHidden/>
    <w:qFormat/>
    <w:locked/>
    <w:uiPriority w:val="99"/>
    <w:rPr>
      <w:sz w:val="18"/>
      <w:szCs w:val="18"/>
    </w:rPr>
  </w:style>
  <w:style w:type="character" w:customStyle="1" w:styleId="11">
    <w:name w:val="批注框文本 字符"/>
    <w:link w:val="2"/>
    <w:semiHidden/>
    <w:qFormat/>
    <w:locked/>
    <w:uiPriority w:val="99"/>
    <w:rPr>
      <w:sz w:val="2"/>
      <w:szCs w:val="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P R C</Company>
  <Pages>19</Pages>
  <Words>12637</Words>
  <Characters>12960</Characters>
  <Lines>23</Lines>
  <Paragraphs>6</Paragraphs>
  <TotalTime>28</TotalTime>
  <ScaleCrop>false</ScaleCrop>
  <LinksUpToDate>false</LinksUpToDate>
  <CharactersWithSpaces>13081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2016-06-16T02:33:00Z</dcterms:created>
  <dc:creator>Windows User</dc:creator>
  <cp:lastModifiedBy>zombies  rice</cp:lastModifiedBy>
  <cp:lastPrinted>2018-11-30T03:25:00Z</cp:lastPrinted>
  <dcterms:modified xsi:type="dcterms:W3CDTF">2025-10-13T07:45:12Z</dcterms:modified>
  <dc:title>实验室危险化学品废弃物回收处置注意事项</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2A66A7284A03490EBDD3749A5377EFC0_13</vt:lpwstr>
  </property>
  <property fmtid="{D5CDD505-2E9C-101B-9397-08002B2CF9AE}" pid="4" name="KSOTemplateDocerSaveRecord">
    <vt:lpwstr>eyJoZGlkIjoiZTZiZjhiMGY0YTE5MDliZmFhOTg0MDU3MDlkNmQ4ZDUiLCJ1c2VySWQiOiI1Nzk4NTM2ODUifQ==</vt:lpwstr>
  </property>
</Properties>
</file>