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14:paraId="0338E640">
      <w:pPr>
        <w:widowControl/>
        <w:spacing w:line="520" w:lineRule="atLeast"/>
        <w:ind w:firstLine="643"/>
        <w:jc w:val="left"/>
        <w:rPr>
          <w:rFonts w:ascii="方正小标宋简体" w:hAnsi="宋体" w:eastAsia="方正小标宋简体" w:cs="方正小标宋简体"/>
          <w:b/>
          <w:bCs/>
          <w:sz w:val="28"/>
          <w:szCs w:val="28"/>
        </w:rPr>
      </w:pPr>
      <w:r>
        <w:rPr>
          <w:rFonts w:hint="eastAsia" w:ascii="方正小标宋简体" w:hAnsi="宋体" w:eastAsia="方正小标宋简体" w:cs="方正小标宋简体"/>
          <w:b/>
          <w:bCs/>
          <w:sz w:val="28"/>
          <w:szCs w:val="28"/>
        </w:rPr>
        <w:t>附件一</w:t>
      </w:r>
    </w:p>
    <w:p w14:paraId="547427E3">
      <w:pPr>
        <w:widowControl/>
        <w:spacing w:line="520" w:lineRule="atLeast"/>
        <w:ind w:firstLine="643"/>
        <w:jc w:val="left"/>
        <w:rPr>
          <w:rFonts w:ascii="方正小标宋简体" w:hAnsi="宋体" w:eastAsia="方正小标宋简体" w:cs="Times New Roman"/>
          <w:b/>
          <w:bCs/>
          <w:sz w:val="36"/>
          <w:szCs w:val="36"/>
        </w:rPr>
      </w:pPr>
      <w:r>
        <w:rPr>
          <w:rFonts w:hint="eastAsia" w:ascii="方正小标宋简体" w:hAnsi="宋体" w:eastAsia="方正小标宋简体" w:cs="方正小标宋简体"/>
          <w:b/>
          <w:bCs/>
          <w:sz w:val="36"/>
          <w:szCs w:val="36"/>
        </w:rPr>
        <w:t>实验室危险化学品废弃物回收处置注意事项</w:t>
      </w:r>
    </w:p>
    <w:p w14:paraId="1EF2D9AD">
      <w:pPr>
        <w:numPr>
          <w:ilvl w:val="0"/>
          <w:numId w:val="1"/>
        </w:numPr>
        <w:spacing w:line="480" w:lineRule="exact"/>
        <w:ind w:firstLine="560" w:firstLineChars="200"/>
        <w:rPr>
          <w:rFonts w:ascii="黑体" w:hAnsi="Times New Roman" w:eastAsia="黑体" w:cs="黑体"/>
          <w:sz w:val="28"/>
          <w:szCs w:val="28"/>
        </w:rPr>
      </w:pPr>
      <w:r>
        <w:rPr>
          <w:rFonts w:hint="eastAsia" w:ascii="黑体" w:hAnsi="Times New Roman" w:eastAsia="黑体" w:cs="黑体"/>
          <w:sz w:val="28"/>
          <w:szCs w:val="28"/>
        </w:rPr>
        <w:t>总则</w:t>
      </w:r>
    </w:p>
    <w:p w14:paraId="01EAA55C">
      <w:pPr>
        <w:spacing w:line="480" w:lineRule="exact"/>
        <w:ind w:firstLine="560" w:firstLineChars="200"/>
        <w:rPr>
          <w:rFonts w:ascii="仿宋_GB2312" w:hAnsi="Times New Roman" w:eastAsia="仿宋_GB2312" w:cs="Times New Roman"/>
          <w:sz w:val="28"/>
          <w:szCs w:val="28"/>
        </w:rPr>
      </w:pPr>
      <w:r>
        <w:rPr>
          <w:rFonts w:hint="eastAsia" w:ascii="仿宋_GB2312" w:hAnsi="Times New Roman" w:eastAsia="仿宋_GB2312" w:cs="仿宋_GB2312"/>
          <w:sz w:val="28"/>
          <w:szCs w:val="28"/>
        </w:rPr>
        <w:t>危险化学品废弃物产生单位应指定专人具体负责废弃物的分类收集及暂存的安全管理工作，并配合国有资产与实验室管理处开展回收处置工作。</w:t>
      </w:r>
    </w:p>
    <w:p w14:paraId="66A009A2">
      <w:pPr>
        <w:spacing w:line="480" w:lineRule="exact"/>
        <w:ind w:firstLine="560" w:firstLineChars="200"/>
        <w:rPr>
          <w:rFonts w:ascii="仿宋_GB2312" w:hAnsi="Times New Roman" w:eastAsia="仿宋_GB2312" w:cs="Times New Roman"/>
          <w:sz w:val="28"/>
          <w:szCs w:val="28"/>
        </w:rPr>
      </w:pPr>
      <w:r>
        <w:rPr>
          <w:rFonts w:hint="eastAsia" w:ascii="黑体" w:hAnsi="Times New Roman" w:eastAsia="黑体" w:cs="黑体"/>
          <w:sz w:val="28"/>
          <w:szCs w:val="28"/>
        </w:rPr>
        <w:t>第二条</w:t>
      </w:r>
      <w:r>
        <w:rPr>
          <w:rFonts w:ascii="黑体" w:hAnsi="Times New Roman" w:eastAsia="黑体" w:cs="黑体"/>
          <w:sz w:val="28"/>
          <w:szCs w:val="28"/>
        </w:rPr>
        <w:t xml:space="preserve"> </w:t>
      </w:r>
      <w:r>
        <w:rPr>
          <w:rFonts w:hint="eastAsia" w:ascii="黑体" w:hAnsi="Times New Roman" w:eastAsia="黑体" w:cs="黑体"/>
          <w:sz w:val="28"/>
          <w:szCs w:val="28"/>
        </w:rPr>
        <w:t>危险化学品废弃物收集装运人员要求</w:t>
      </w:r>
    </w:p>
    <w:p w14:paraId="43653742">
      <w:pPr>
        <w:spacing w:line="480" w:lineRule="exact"/>
        <w:ind w:firstLine="560" w:firstLineChars="200"/>
        <w:rPr>
          <w:rFonts w:hint="eastAsia" w:ascii="仿宋_GB2312" w:hAnsi="Times New Roman" w:eastAsia="仿宋_GB2312" w:cs="仿宋_GB2312"/>
          <w:sz w:val="28"/>
          <w:szCs w:val="28"/>
        </w:rPr>
      </w:pPr>
      <w:r>
        <w:rPr>
          <w:rFonts w:hint="eastAsia" w:ascii="仿宋_GB2312" w:hAnsi="Times New Roman" w:eastAsia="仿宋_GB2312" w:cs="仿宋_GB2312"/>
          <w:sz w:val="28"/>
          <w:szCs w:val="28"/>
        </w:rPr>
        <w:t>（一）收集、存储危险化学品相关操作人员应根据化学品的相容性和危险特性做好个人防护，确保人员安全。</w:t>
      </w:r>
    </w:p>
    <w:p w14:paraId="372F3E20">
      <w:pPr>
        <w:spacing w:line="480" w:lineRule="exact"/>
        <w:ind w:firstLine="560" w:firstLineChars="200"/>
        <w:rPr>
          <w:rFonts w:hint="eastAsia" w:ascii="仿宋_GB2312" w:hAnsi="Times New Roman" w:eastAsia="仿宋_GB2312" w:cs="仿宋_GB2312"/>
          <w:sz w:val="28"/>
          <w:szCs w:val="28"/>
        </w:rPr>
      </w:pPr>
      <w:r>
        <w:rPr>
          <w:rFonts w:hint="eastAsia" w:ascii="仿宋_GB2312" w:hAnsi="Times New Roman" w:eastAsia="仿宋_GB2312" w:cs="仿宋_GB2312"/>
          <w:sz w:val="28"/>
          <w:szCs w:val="28"/>
        </w:rPr>
        <w:t>（二）收集危险化学品废弃物时，相关单位应按通知的时间，</w:t>
      </w:r>
      <w:r>
        <w:rPr>
          <w:rFonts w:hint="eastAsia" w:ascii="仿宋_GB2312" w:hAnsi="Times New Roman" w:eastAsia="仿宋_GB2312" w:cs="仿宋_GB2312"/>
          <w:sz w:val="28"/>
          <w:szCs w:val="28"/>
          <w:lang w:val="en-US" w:eastAsia="zh-CN"/>
        </w:rPr>
        <w:t>将实验室房间废弃物暂存区存放的危险化学品废弃物按照规范要求提前分类打包，</w:t>
      </w:r>
      <w:r>
        <w:rPr>
          <w:rFonts w:hint="eastAsia" w:ascii="仿宋_GB2312" w:hAnsi="Times New Roman" w:eastAsia="仿宋_GB2312" w:cs="仿宋_GB2312"/>
          <w:b/>
          <w:bCs/>
          <w:sz w:val="28"/>
          <w:szCs w:val="28"/>
          <w:lang w:val="en-US" w:eastAsia="zh-CN"/>
        </w:rPr>
        <w:t>非剧毒类实验室废物</w:t>
      </w:r>
      <w:r>
        <w:rPr>
          <w:rFonts w:hint="default" w:eastAsia="仿宋_GB2312" w:cs="仿宋_GB2312" w:asciiTheme="minorAscii" w:hAnsiTheme="minorAscii"/>
          <w:b/>
          <w:bCs/>
          <w:sz w:val="28"/>
          <w:szCs w:val="28"/>
          <w:lang w:val="en-US" w:eastAsia="zh-CN"/>
        </w:rPr>
        <w:t>（900-047-49）</w:t>
      </w:r>
      <w:r>
        <w:rPr>
          <w:rFonts w:hint="eastAsia" w:ascii="仿宋_GB2312" w:hAnsi="Times New Roman" w:eastAsia="仿宋_GB2312" w:cs="仿宋_GB2312"/>
          <w:b/>
          <w:bCs/>
          <w:sz w:val="28"/>
          <w:szCs w:val="28"/>
          <w:lang w:val="en-US" w:eastAsia="zh-CN"/>
        </w:rPr>
        <w:t>须分别按固液分开、有机无机分开、氧化还原剂分开的原则</w:t>
      </w:r>
      <w:r>
        <w:rPr>
          <w:rFonts w:hint="eastAsia" w:ascii="仿宋_GB2312" w:hAnsi="Times New Roman" w:eastAsia="仿宋_GB2312" w:cs="仿宋_GB2312"/>
          <w:sz w:val="28"/>
          <w:szCs w:val="28"/>
          <w:lang w:val="en-US" w:eastAsia="zh-CN"/>
        </w:rPr>
        <w:t>，进行分类存放和称重</w:t>
      </w:r>
      <w:r>
        <w:rPr>
          <w:rFonts w:hint="eastAsia" w:ascii="仿宋_GB2312" w:hAnsi="Times New Roman" w:eastAsia="仿宋_GB2312" w:cs="仿宋_GB2312"/>
          <w:sz w:val="28"/>
          <w:szCs w:val="28"/>
        </w:rPr>
        <w:t>。</w:t>
      </w:r>
      <w:r>
        <w:rPr>
          <w:rFonts w:hint="eastAsia" w:ascii="仿宋_GB2312" w:hAnsi="Times New Roman" w:eastAsia="仿宋_GB2312" w:cs="仿宋_GB2312"/>
          <w:sz w:val="28"/>
          <w:szCs w:val="28"/>
          <w:lang w:val="en-US" w:eastAsia="zh-CN"/>
        </w:rPr>
        <w:t>收运时未按要求打包好</w:t>
      </w:r>
      <w:r>
        <w:rPr>
          <w:rFonts w:hint="eastAsia" w:ascii="仿宋_GB2312" w:hAnsi="Times New Roman" w:eastAsia="仿宋_GB2312" w:cs="仿宋_GB2312"/>
          <w:sz w:val="28"/>
          <w:szCs w:val="28"/>
        </w:rPr>
        <w:t>废弃物</w:t>
      </w:r>
      <w:r>
        <w:rPr>
          <w:rFonts w:hint="eastAsia" w:ascii="仿宋_GB2312" w:hAnsi="Times New Roman" w:eastAsia="仿宋_GB2312" w:cs="仿宋_GB2312"/>
          <w:sz w:val="28"/>
          <w:szCs w:val="28"/>
          <w:lang w:val="en-US" w:eastAsia="zh-CN"/>
        </w:rPr>
        <w:t>的</w:t>
      </w:r>
      <w:r>
        <w:rPr>
          <w:rFonts w:hint="eastAsia" w:ascii="仿宋_GB2312" w:hAnsi="Times New Roman" w:eastAsia="仿宋_GB2312" w:cs="仿宋_GB2312"/>
          <w:sz w:val="28"/>
          <w:szCs w:val="28"/>
        </w:rPr>
        <w:t>院系自行收存，等待下次收集。</w:t>
      </w:r>
    </w:p>
    <w:p w14:paraId="59A5AF47">
      <w:pPr>
        <w:spacing w:line="480" w:lineRule="exact"/>
        <w:ind w:firstLine="560" w:firstLineChars="200"/>
        <w:rPr>
          <w:rFonts w:ascii="仿宋_GB2312" w:hAnsi="Times New Roman" w:eastAsia="仿宋_GB2312" w:cs="Times New Roman"/>
          <w:sz w:val="28"/>
          <w:szCs w:val="28"/>
        </w:rPr>
      </w:pPr>
      <w:r>
        <w:rPr>
          <w:rFonts w:hint="eastAsia" w:ascii="仿宋_GB2312" w:hAnsi="Times New Roman" w:eastAsia="仿宋_GB2312" w:cs="仿宋_GB2312"/>
          <w:sz w:val="28"/>
          <w:szCs w:val="28"/>
        </w:rPr>
        <w:t>（三）装运期间，要求</w:t>
      </w:r>
      <w:r>
        <w:rPr>
          <w:rFonts w:hint="eastAsia" w:ascii="仿宋_GB2312" w:hAnsi="Times New Roman" w:eastAsia="仿宋_GB2312" w:cs="仿宋_GB2312"/>
          <w:sz w:val="28"/>
          <w:szCs w:val="28"/>
          <w:lang w:val="en-US" w:eastAsia="zh-CN"/>
        </w:rPr>
        <w:t>各实验室</w:t>
      </w:r>
      <w:r>
        <w:rPr>
          <w:rFonts w:hint="eastAsia" w:ascii="仿宋_GB2312" w:hAnsi="Times New Roman" w:eastAsia="仿宋_GB2312" w:cs="仿宋_GB2312"/>
          <w:sz w:val="28"/>
          <w:szCs w:val="28"/>
        </w:rPr>
        <w:t>有相关人员留守现场至</w:t>
      </w:r>
      <w:r>
        <w:rPr>
          <w:rFonts w:hint="eastAsia" w:ascii="仿宋_GB2312" w:hAnsi="Times New Roman" w:eastAsia="仿宋_GB2312" w:cs="仿宋_GB2312"/>
          <w:sz w:val="28"/>
          <w:szCs w:val="28"/>
          <w:lang w:val="en-US" w:eastAsia="zh-CN"/>
        </w:rPr>
        <w:t>收运人员搬运称重</w:t>
      </w:r>
      <w:r>
        <w:rPr>
          <w:rFonts w:hint="eastAsia" w:ascii="仿宋_GB2312" w:hAnsi="Times New Roman" w:eastAsia="仿宋_GB2312" w:cs="仿宋_GB2312"/>
          <w:sz w:val="28"/>
          <w:szCs w:val="28"/>
        </w:rPr>
        <w:t>完毕</w:t>
      </w:r>
      <w:r>
        <w:rPr>
          <w:rFonts w:hint="eastAsia" w:ascii="仿宋_GB2312" w:hAnsi="Times New Roman" w:eastAsia="仿宋_GB2312" w:cs="仿宋_GB2312"/>
          <w:sz w:val="28"/>
          <w:szCs w:val="28"/>
          <w:lang w:val="en-US" w:eastAsia="zh-CN"/>
        </w:rPr>
        <w:t>并完成交接手续</w:t>
      </w:r>
      <w:r>
        <w:rPr>
          <w:rFonts w:hint="eastAsia" w:ascii="仿宋_GB2312" w:hAnsi="Times New Roman" w:eastAsia="仿宋_GB2312" w:cs="仿宋_GB2312"/>
          <w:sz w:val="28"/>
          <w:szCs w:val="28"/>
        </w:rPr>
        <w:t>，严禁现场无人看管或危废失管失控，</w:t>
      </w:r>
      <w:r>
        <w:rPr>
          <w:rFonts w:hint="eastAsia" w:ascii="仿宋_GB2312" w:hAnsi="Times New Roman" w:eastAsia="仿宋_GB2312" w:cs="仿宋_GB2312"/>
          <w:sz w:val="28"/>
          <w:szCs w:val="28"/>
          <w:lang w:val="en-US" w:eastAsia="zh-CN"/>
        </w:rPr>
        <w:t>室内外存放点</w:t>
      </w:r>
      <w:r>
        <w:rPr>
          <w:rFonts w:hint="eastAsia" w:ascii="仿宋_GB2312" w:hAnsi="Times New Roman" w:eastAsia="仿宋_GB2312" w:cs="仿宋_GB2312"/>
          <w:sz w:val="28"/>
          <w:szCs w:val="28"/>
        </w:rPr>
        <w:t>应张贴危废贮存场所警示标志。</w:t>
      </w:r>
      <w:r>
        <w:rPr>
          <w:rFonts w:hint="eastAsia" w:ascii="仿宋_GB2312" w:hAnsi="Times New Roman" w:eastAsia="仿宋_GB2312" w:cs="仿宋_GB2312"/>
          <w:b/>
          <w:bCs/>
          <w:sz w:val="28"/>
          <w:szCs w:val="28"/>
        </w:rPr>
        <w:t>所有危险废弃物包装容器外均需粘贴国家统一</w:t>
      </w:r>
      <w:r>
        <w:rPr>
          <w:rFonts w:hint="eastAsia" w:ascii="仿宋_GB2312" w:hAnsi="Times New Roman" w:eastAsia="仿宋_GB2312" w:cs="仿宋_GB2312"/>
          <w:b/>
          <w:bCs/>
          <w:sz w:val="28"/>
          <w:szCs w:val="28"/>
          <w:highlight w:val="yellow"/>
          <w:lang w:val="en-US" w:eastAsia="zh-CN"/>
        </w:rPr>
        <w:t>危废二维码</w:t>
      </w:r>
      <w:r>
        <w:rPr>
          <w:rFonts w:hint="eastAsia" w:ascii="仿宋_GB2312" w:hAnsi="Times New Roman" w:eastAsia="仿宋_GB2312" w:cs="仿宋_GB2312"/>
          <w:b/>
          <w:bCs/>
          <w:sz w:val="28"/>
          <w:szCs w:val="28"/>
          <w:highlight w:val="yellow"/>
        </w:rPr>
        <w:t>标签</w:t>
      </w:r>
      <w:r>
        <w:rPr>
          <w:rFonts w:hint="eastAsia" w:ascii="仿宋_GB2312" w:hAnsi="Times New Roman" w:eastAsia="仿宋_GB2312" w:cs="仿宋_GB2312"/>
          <w:sz w:val="28"/>
          <w:szCs w:val="28"/>
        </w:rPr>
        <w:t>，标签上须有联系人电话，并在桶/箱上用记号笔在显著位置按照“二级单位名称-总桶/箱数-桶/箱序号”的格式进行标记。收</w:t>
      </w:r>
      <w:r>
        <w:rPr>
          <w:rFonts w:hint="eastAsia" w:ascii="仿宋_GB2312" w:hAnsi="Times New Roman" w:eastAsia="仿宋_GB2312" w:cs="仿宋_GB2312"/>
          <w:sz w:val="28"/>
          <w:szCs w:val="28"/>
          <w:lang w:val="en-US" w:eastAsia="zh-CN"/>
        </w:rPr>
        <w:t>运</w:t>
      </w:r>
      <w:r>
        <w:rPr>
          <w:rFonts w:hint="eastAsia" w:ascii="仿宋_GB2312" w:hAnsi="Times New Roman" w:eastAsia="仿宋_GB2312" w:cs="仿宋_GB2312"/>
          <w:sz w:val="28"/>
          <w:szCs w:val="28"/>
        </w:rPr>
        <w:t>完毕后，相关单位、国有资产与实验室管理处、危废处置公司相关人员在最终拖运统计表上签字确认废弃物的种类与数量。</w:t>
      </w:r>
    </w:p>
    <w:p w14:paraId="671D1492">
      <w:pPr>
        <w:spacing w:line="480" w:lineRule="exact"/>
        <w:ind w:firstLine="560" w:firstLineChars="200"/>
        <w:rPr>
          <w:rFonts w:ascii="黑体" w:hAnsi="Times New Roman" w:eastAsia="黑体" w:cs="Times New Roman"/>
          <w:sz w:val="28"/>
          <w:szCs w:val="28"/>
        </w:rPr>
      </w:pPr>
      <w:r>
        <w:rPr>
          <w:rFonts w:hint="eastAsia" w:ascii="黑体" w:hAnsi="Times New Roman" w:eastAsia="黑体" w:cs="黑体"/>
          <w:sz w:val="28"/>
          <w:szCs w:val="28"/>
        </w:rPr>
        <w:t>第三条</w:t>
      </w:r>
      <w:r>
        <w:rPr>
          <w:rFonts w:ascii="黑体" w:hAnsi="Times New Roman" w:eastAsia="黑体" w:cs="Times New Roman"/>
          <w:sz w:val="28"/>
          <w:szCs w:val="28"/>
        </w:rPr>
        <w:t> </w:t>
      </w:r>
      <w:r>
        <w:rPr>
          <w:rFonts w:hint="eastAsia" w:ascii="黑体" w:hAnsi="Times New Roman" w:eastAsia="黑体" w:cs="黑体"/>
          <w:sz w:val="28"/>
          <w:szCs w:val="28"/>
        </w:rPr>
        <w:t>危险化学品废弃物的分类收集和装运具体要求</w:t>
      </w:r>
    </w:p>
    <w:p w14:paraId="70C40550">
      <w:pPr>
        <w:spacing w:line="480" w:lineRule="exact"/>
        <w:ind w:firstLine="562" w:firstLineChars="200"/>
        <w:rPr>
          <w:rFonts w:ascii="楷体_GB2312" w:hAnsi="Times New Roman" w:eastAsia="楷体_GB2312" w:cs="Times New Roman"/>
          <w:b/>
          <w:bCs/>
          <w:sz w:val="28"/>
          <w:szCs w:val="28"/>
        </w:rPr>
      </w:pPr>
      <w:r>
        <w:rPr>
          <w:rFonts w:hint="eastAsia" w:ascii="楷体_GB2312" w:hAnsi="Times New Roman" w:eastAsia="楷体_GB2312" w:cs="楷体_GB2312"/>
          <w:b/>
          <w:bCs/>
          <w:sz w:val="28"/>
          <w:szCs w:val="28"/>
        </w:rPr>
        <w:t>（一）液体非剧毒类实验室废物（900-047-49）</w:t>
      </w:r>
    </w:p>
    <w:p w14:paraId="34F85E8E">
      <w:pPr>
        <w:spacing w:line="480" w:lineRule="exact"/>
        <w:ind w:firstLine="560" w:firstLineChars="200"/>
        <w:rPr>
          <w:rFonts w:ascii="仿宋_GB2312" w:hAnsi="Times New Roman" w:eastAsia="仿宋_GB2312" w:cs="Times New Roman"/>
          <w:sz w:val="28"/>
          <w:szCs w:val="28"/>
        </w:rPr>
      </w:pPr>
      <w:r>
        <w:rPr>
          <w:rFonts w:ascii="仿宋_GB2312" w:hAnsi="Times New Roman" w:eastAsia="仿宋_GB2312" w:cs="仿宋_GB2312"/>
          <w:sz w:val="28"/>
          <w:szCs w:val="28"/>
        </w:rPr>
        <w:t>1</w:t>
      </w:r>
      <w:r>
        <w:rPr>
          <w:rFonts w:hint="eastAsia" w:ascii="仿宋_GB2312" w:hAnsi="Times New Roman" w:eastAsia="仿宋_GB2312" w:cs="仿宋_GB2312"/>
          <w:sz w:val="28"/>
          <w:szCs w:val="28"/>
        </w:rPr>
        <w:t>、危险化学品废液须分类存放在符合相容性材质要求的</w:t>
      </w:r>
      <w:r>
        <w:rPr>
          <w:rFonts w:hint="eastAsia" w:ascii="仿宋_GB2312" w:hAnsi="Times New Roman" w:eastAsia="仿宋_GB2312" w:cs="仿宋_GB2312"/>
          <w:b/>
          <w:bCs/>
          <w:sz w:val="28"/>
          <w:szCs w:val="28"/>
        </w:rPr>
        <w:t>小开口废液桶</w:t>
      </w:r>
      <w:r>
        <w:rPr>
          <w:rFonts w:hint="eastAsia" w:ascii="仿宋_GB2312" w:hAnsi="Times New Roman" w:eastAsia="仿宋_GB2312" w:cs="仿宋_GB2312"/>
          <w:sz w:val="28"/>
          <w:szCs w:val="28"/>
        </w:rPr>
        <w:t>内，如相容性较好的高密度聚乙烯材质内，</w:t>
      </w:r>
      <w:r>
        <w:rPr>
          <w:rFonts w:hint="eastAsia" w:ascii="仿宋_GB2312" w:hAnsi="Times New Roman" w:eastAsia="仿宋_GB2312" w:cs="仿宋_GB2312"/>
          <w:b/>
          <w:bCs/>
          <w:sz w:val="28"/>
          <w:szCs w:val="28"/>
        </w:rPr>
        <w:t>桶外须粘贴国家统一标签标示桶内废液种类和主要成分等信息。</w:t>
      </w:r>
      <w:r>
        <w:rPr>
          <w:rFonts w:hint="eastAsia" w:ascii="仿宋_GB2312" w:hAnsi="Times New Roman" w:eastAsia="仿宋_GB2312" w:cs="仿宋_GB2312"/>
          <w:sz w:val="28"/>
          <w:szCs w:val="28"/>
        </w:rPr>
        <w:t>要求用中文全称，不可简写或缩写。为了防止漏液的发生，要求所用的废液桶必须是桶壁厚实，</w:t>
      </w:r>
      <w:r>
        <w:rPr>
          <w:rFonts w:hint="eastAsia" w:ascii="仿宋_GB2312" w:hAnsi="Times New Roman" w:eastAsia="仿宋_GB2312" w:cs="仿宋_GB2312"/>
          <w:b/>
          <w:bCs/>
          <w:sz w:val="28"/>
          <w:szCs w:val="28"/>
        </w:rPr>
        <w:t>用前检查无渗漏点，内盖有硅胶密封圈，外盖能严丝合缝</w:t>
      </w:r>
      <w:r>
        <w:rPr>
          <w:rFonts w:hint="eastAsia" w:ascii="仿宋_GB2312" w:hAnsi="Times New Roman" w:eastAsia="仿宋_GB2312" w:cs="仿宋_GB2312"/>
          <w:sz w:val="28"/>
          <w:szCs w:val="28"/>
        </w:rPr>
        <w:t>，不可装得过满，须保留</w:t>
      </w:r>
      <w:r>
        <w:rPr>
          <w:rFonts w:hint="eastAsia" w:ascii="仿宋_GB2312" w:hAnsi="Times New Roman" w:eastAsia="仿宋_GB2312" w:cs="仿宋_GB2312"/>
          <w:sz w:val="28"/>
          <w:szCs w:val="28"/>
          <w:lang w:val="en-US" w:eastAsia="zh-CN"/>
        </w:rPr>
        <w:t>不少于15％</w:t>
      </w:r>
      <w:r>
        <w:rPr>
          <w:rFonts w:hint="eastAsia" w:ascii="仿宋_GB2312" w:hAnsi="Times New Roman" w:eastAsia="仿宋_GB2312" w:cs="仿宋_GB2312"/>
          <w:sz w:val="28"/>
          <w:szCs w:val="28"/>
        </w:rPr>
        <w:t>的剩余空间。</w:t>
      </w:r>
    </w:p>
    <w:p w14:paraId="57C12366">
      <w:pPr>
        <w:spacing w:line="480" w:lineRule="exact"/>
        <w:ind w:firstLine="560" w:firstLineChars="200"/>
        <w:rPr>
          <w:rFonts w:ascii="仿宋_GB2312" w:hAnsi="Times New Roman" w:eastAsia="仿宋_GB2312" w:cs="仿宋_GB2312"/>
          <w:sz w:val="28"/>
          <w:szCs w:val="28"/>
        </w:rPr>
      </w:pPr>
      <w:r>
        <w:rPr>
          <w:rFonts w:ascii="仿宋_GB2312" w:hAnsi="Times New Roman" w:eastAsia="仿宋_GB2312" w:cs="仿宋_GB2312"/>
          <w:sz w:val="28"/>
          <w:szCs w:val="28"/>
        </w:rPr>
        <w:t>2</w:t>
      </w:r>
      <w:r>
        <w:rPr>
          <w:rFonts w:hint="eastAsia" w:ascii="仿宋_GB2312" w:hAnsi="Times New Roman" w:eastAsia="仿宋_GB2312" w:cs="仿宋_GB2312"/>
          <w:sz w:val="28"/>
          <w:szCs w:val="28"/>
        </w:rPr>
        <w:t>、容易发生异常反应的废液（见表二）严禁混装，应单独暂存于其它容器中，并贴上标签。</w:t>
      </w:r>
    </w:p>
    <w:p w14:paraId="3A5968C6">
      <w:pPr>
        <w:spacing w:line="480" w:lineRule="exact"/>
        <w:ind w:firstLine="562" w:firstLineChars="200"/>
        <w:rPr>
          <w:rFonts w:ascii="楷体_GB2312" w:hAnsi="Times New Roman" w:eastAsia="楷体_GB2312" w:cs="楷体_GB2312"/>
          <w:b/>
          <w:bCs/>
          <w:sz w:val="28"/>
          <w:szCs w:val="28"/>
        </w:rPr>
      </w:pPr>
      <w:r>
        <w:rPr>
          <w:rFonts w:hint="eastAsia" w:ascii="楷体_GB2312" w:hAnsi="Times New Roman" w:eastAsia="楷体_GB2312" w:cs="楷体_GB2312"/>
          <w:b/>
          <w:bCs/>
          <w:sz w:val="28"/>
          <w:szCs w:val="28"/>
        </w:rPr>
        <w:t>（二）固体非剧毒类实验室废物（900-047-49）</w:t>
      </w:r>
    </w:p>
    <w:p w14:paraId="0C32125A">
      <w:pPr>
        <w:spacing w:line="480" w:lineRule="exact"/>
        <w:ind w:firstLine="560" w:firstLineChars="200"/>
        <w:rPr>
          <w:rFonts w:ascii="仿宋_GB2312" w:hAnsi="Times New Roman" w:eastAsia="仿宋_GB2312" w:cs="仿宋_GB2312"/>
          <w:sz w:val="28"/>
          <w:szCs w:val="28"/>
        </w:rPr>
      </w:pPr>
      <w:r>
        <w:rPr>
          <w:rFonts w:hint="eastAsia" w:ascii="仿宋_GB2312" w:hAnsi="Times New Roman" w:eastAsia="仿宋_GB2312" w:cs="仿宋_GB2312"/>
          <w:sz w:val="28"/>
          <w:szCs w:val="28"/>
        </w:rPr>
        <w:t>固体危险化学品废弃物</w:t>
      </w:r>
      <w:r>
        <w:rPr>
          <w:rFonts w:hint="eastAsia" w:ascii="仿宋_GB2312" w:hAnsi="Times New Roman" w:eastAsia="仿宋_GB2312" w:cs="仿宋_GB2312"/>
          <w:b/>
          <w:bCs/>
          <w:sz w:val="28"/>
          <w:szCs w:val="28"/>
          <w:lang w:eastAsia="zh-CN"/>
        </w:rPr>
        <w:t>（</w:t>
      </w:r>
      <w:r>
        <w:rPr>
          <w:rFonts w:hint="eastAsia" w:ascii="仿宋_GB2312" w:hAnsi="Times New Roman" w:eastAsia="仿宋_GB2312" w:cs="仿宋_GB2312"/>
          <w:b/>
          <w:bCs/>
          <w:sz w:val="28"/>
          <w:szCs w:val="28"/>
          <w:lang w:val="en-US" w:eastAsia="zh-CN"/>
        </w:rPr>
        <w:t>有机/无机）</w:t>
      </w:r>
      <w:r>
        <w:rPr>
          <w:rFonts w:hint="eastAsia" w:ascii="仿宋_GB2312" w:hAnsi="Times New Roman" w:eastAsia="仿宋_GB2312" w:cs="仿宋_GB2312"/>
          <w:b/>
          <w:bCs/>
          <w:sz w:val="28"/>
          <w:szCs w:val="28"/>
        </w:rPr>
        <w:t>必须</w:t>
      </w:r>
      <w:r>
        <w:rPr>
          <w:rFonts w:hint="eastAsia" w:ascii="仿宋_GB2312" w:hAnsi="Times New Roman" w:eastAsia="仿宋_GB2312" w:cs="仿宋_GB2312"/>
          <w:b/>
          <w:bCs/>
          <w:sz w:val="28"/>
          <w:szCs w:val="28"/>
          <w:lang w:val="en-US" w:eastAsia="zh-CN"/>
        </w:rPr>
        <w:t>分类</w:t>
      </w:r>
      <w:r>
        <w:rPr>
          <w:rFonts w:hint="eastAsia" w:ascii="仿宋_GB2312" w:hAnsi="Times New Roman" w:eastAsia="仿宋_GB2312" w:cs="仿宋_GB2312"/>
          <w:b/>
          <w:bCs/>
          <w:sz w:val="28"/>
          <w:szCs w:val="28"/>
        </w:rPr>
        <w:t>存放在相应的容器内</w:t>
      </w:r>
      <w:r>
        <w:rPr>
          <w:rFonts w:hint="eastAsia" w:ascii="仿宋_GB2312" w:hAnsi="Times New Roman" w:eastAsia="仿宋_GB2312" w:cs="仿宋_GB2312"/>
          <w:sz w:val="28"/>
          <w:szCs w:val="28"/>
        </w:rPr>
        <w:t>，如开口桶，并外加标示。轻质、干燥、低毒的固体废物可</w:t>
      </w:r>
      <w:r>
        <w:rPr>
          <w:rFonts w:hint="eastAsia" w:ascii="仿宋_GB2312" w:hAnsi="Times New Roman" w:eastAsia="仿宋_GB2312" w:cs="仿宋_GB2312"/>
          <w:b/>
          <w:bCs/>
          <w:sz w:val="28"/>
          <w:szCs w:val="28"/>
        </w:rPr>
        <w:t>分类集中存放在结实加固的纸箱内。</w:t>
      </w:r>
      <w:r>
        <w:rPr>
          <w:rFonts w:hint="eastAsia" w:ascii="仿宋_GB2312" w:hAnsi="Times New Roman" w:eastAsia="仿宋_GB2312" w:cs="仿宋_GB2312"/>
          <w:sz w:val="28"/>
          <w:szCs w:val="28"/>
        </w:rPr>
        <w:t>容器或纸箱外要粘贴国家统一标签。所有的危险化学品固体废弃物容器须密封良好。需高度重视易燃、易爆的固体危险化学品，全流程严格把关，确保包装、贮存、运输安全。</w:t>
      </w:r>
    </w:p>
    <w:p w14:paraId="713A7DA9">
      <w:pPr>
        <w:spacing w:line="480" w:lineRule="exact"/>
        <w:ind w:firstLine="562" w:firstLineChars="200"/>
        <w:rPr>
          <w:rFonts w:ascii="楷体_GB2312" w:hAnsi="Times New Roman" w:eastAsia="楷体_GB2312" w:cs="Times New Roman"/>
          <w:b/>
          <w:bCs/>
          <w:sz w:val="28"/>
          <w:szCs w:val="28"/>
        </w:rPr>
      </w:pPr>
      <w:r>
        <w:rPr>
          <w:rFonts w:hint="eastAsia" w:ascii="楷体_GB2312" w:hAnsi="Times New Roman" w:eastAsia="楷体_GB2312" w:cs="楷体_GB2312"/>
          <w:b/>
          <w:bCs/>
          <w:sz w:val="28"/>
          <w:szCs w:val="28"/>
        </w:rPr>
        <w:t>（三）含剧毒类实验室废弃物（900-047-49）</w:t>
      </w:r>
    </w:p>
    <w:p w14:paraId="5B096CB7">
      <w:pPr>
        <w:spacing w:line="480" w:lineRule="exact"/>
        <w:ind w:firstLine="560" w:firstLineChars="200"/>
        <w:rPr>
          <w:rFonts w:ascii="仿宋_GB2312" w:hAnsi="Times New Roman" w:eastAsia="仿宋_GB2312" w:cs="Times New Roman"/>
          <w:sz w:val="28"/>
          <w:szCs w:val="28"/>
        </w:rPr>
      </w:pPr>
      <w:r>
        <w:rPr>
          <w:rFonts w:hint="eastAsia" w:ascii="仿宋_GB2312" w:hAnsi="Times New Roman" w:eastAsia="仿宋_GB2312" w:cs="仿宋_GB2312"/>
          <w:sz w:val="28"/>
          <w:szCs w:val="28"/>
        </w:rPr>
        <w:t>《危险化学品勾选清单》对《剧毒化学品名录（2015版）》中的剧毒化学品进行了标注，应</w:t>
      </w:r>
      <w:r>
        <w:rPr>
          <w:rFonts w:hint="eastAsia" w:ascii="仿宋_GB2312" w:hAnsi="Times New Roman" w:eastAsia="仿宋_GB2312" w:cs="仿宋_GB2312"/>
          <w:sz w:val="28"/>
          <w:szCs w:val="28"/>
          <w:lang w:val="en-US" w:eastAsia="zh-CN"/>
        </w:rPr>
        <w:t>进行反复核对，并</w:t>
      </w:r>
      <w:r>
        <w:rPr>
          <w:rFonts w:hint="eastAsia" w:ascii="仿宋_GB2312" w:hAnsi="Times New Roman" w:eastAsia="仿宋_GB2312" w:cs="仿宋_GB2312"/>
          <w:sz w:val="28"/>
          <w:szCs w:val="28"/>
        </w:rPr>
        <w:t>按照上述标签规范，</w:t>
      </w:r>
      <w:r>
        <w:rPr>
          <w:rFonts w:hint="eastAsia" w:ascii="仿宋_GB2312" w:hAnsi="Times New Roman" w:eastAsia="仿宋_GB2312" w:cs="仿宋_GB2312"/>
          <w:b/>
          <w:bCs/>
          <w:sz w:val="28"/>
          <w:szCs w:val="28"/>
        </w:rPr>
        <w:t>暂存在单独的容器中</w:t>
      </w:r>
      <w:r>
        <w:rPr>
          <w:rFonts w:hint="eastAsia" w:ascii="仿宋_GB2312" w:hAnsi="Times New Roman" w:eastAsia="仿宋_GB2312" w:cs="仿宋_GB2312"/>
          <w:sz w:val="28"/>
          <w:szCs w:val="28"/>
        </w:rPr>
        <w:t>，不可将几种剧毒物质混在一个容器中，或将剧毒物质倒入其他装有废液的桶里，必须按剧毒试剂管理的规定进行妥善保管和出库，含包装和不含包装称重并粘贴国家统一标签，回收处置当天由</w:t>
      </w:r>
      <w:r>
        <w:rPr>
          <w:rFonts w:hint="eastAsia" w:ascii="仿宋_GB2312" w:hAnsi="Times New Roman" w:eastAsia="仿宋_GB2312" w:cs="仿宋_GB2312"/>
          <w:b/>
          <w:bCs/>
          <w:sz w:val="28"/>
          <w:szCs w:val="28"/>
        </w:rPr>
        <w:t>双人运输单独交至</w:t>
      </w:r>
      <w:r>
        <w:rPr>
          <w:rFonts w:hint="eastAsia" w:ascii="仿宋_GB2312" w:hAnsi="Times New Roman" w:eastAsia="仿宋_GB2312" w:cs="仿宋_GB2312"/>
          <w:sz w:val="28"/>
          <w:szCs w:val="28"/>
        </w:rPr>
        <w:t>职能部门负责人。</w:t>
      </w:r>
    </w:p>
    <w:p w14:paraId="493FFF60">
      <w:pPr>
        <w:spacing w:line="480" w:lineRule="exact"/>
        <w:ind w:firstLine="562" w:firstLineChars="200"/>
        <w:rPr>
          <w:rFonts w:ascii="楷体_GB2312" w:hAnsi="Times New Roman" w:eastAsia="楷体_GB2312" w:cs="Times New Roman"/>
          <w:b/>
          <w:bCs/>
          <w:sz w:val="28"/>
          <w:szCs w:val="28"/>
        </w:rPr>
      </w:pPr>
      <w:r>
        <w:rPr>
          <w:rFonts w:hint="eastAsia" w:ascii="楷体_GB2312" w:hAnsi="Times New Roman" w:eastAsia="楷体_GB2312" w:cs="楷体_GB2312"/>
          <w:b/>
          <w:bCs/>
          <w:sz w:val="28"/>
          <w:szCs w:val="28"/>
        </w:rPr>
        <w:t>（四）废弃包装容器（900-041-49）</w:t>
      </w:r>
    </w:p>
    <w:p w14:paraId="7F4F0384">
      <w:pPr>
        <w:spacing w:line="480" w:lineRule="exact"/>
        <w:ind w:firstLine="560" w:firstLineChars="200"/>
        <w:rPr>
          <w:rFonts w:ascii="仿宋_GB2312" w:hAnsi="Times New Roman" w:eastAsia="仿宋_GB2312" w:cs="仿宋_GB2312"/>
          <w:sz w:val="28"/>
          <w:szCs w:val="28"/>
        </w:rPr>
      </w:pPr>
      <w:r>
        <w:rPr>
          <w:rFonts w:hint="eastAsia" w:ascii="仿宋_GB2312" w:hAnsi="Times New Roman" w:eastAsia="仿宋_GB2312" w:cs="仿宋_GB2312"/>
          <w:sz w:val="28"/>
          <w:szCs w:val="28"/>
        </w:rPr>
        <w:t>危险化学品试剂空瓶要</w:t>
      </w:r>
      <w:r>
        <w:rPr>
          <w:rFonts w:hint="eastAsia" w:ascii="仿宋_GB2312" w:hAnsi="Times New Roman" w:eastAsia="仿宋_GB2312" w:cs="仿宋_GB2312"/>
          <w:b/>
          <w:bCs/>
          <w:sz w:val="28"/>
          <w:szCs w:val="28"/>
        </w:rPr>
        <w:t>密封加固后统一存放在结实的纸箱内</w:t>
      </w:r>
      <w:r>
        <w:rPr>
          <w:rFonts w:hint="eastAsia" w:ascii="仿宋_GB2312" w:hAnsi="Times New Roman" w:eastAsia="仿宋_GB2312" w:cs="仿宋_GB2312"/>
          <w:sz w:val="28"/>
          <w:szCs w:val="28"/>
        </w:rPr>
        <w:t>，并在纸箱外粘贴国家统一标签标，标明试剂空瓶。重点注意严禁纸箱中的试剂空瓶内有废液，废弃空瓶与其他实验室废弃物必须分类装箱保存。</w:t>
      </w:r>
    </w:p>
    <w:p w14:paraId="309C3A0D">
      <w:pPr>
        <w:spacing w:line="480" w:lineRule="exact"/>
        <w:ind w:firstLine="560" w:firstLineChars="200"/>
        <w:rPr>
          <w:rFonts w:ascii="黑体" w:hAnsi="Times New Roman" w:eastAsia="黑体" w:cs="Times New Roman"/>
          <w:sz w:val="28"/>
          <w:szCs w:val="28"/>
        </w:rPr>
      </w:pPr>
      <w:r>
        <w:rPr>
          <w:rFonts w:hint="eastAsia" w:ascii="黑体" w:hAnsi="Times New Roman" w:eastAsia="黑体" w:cs="黑体"/>
          <w:sz w:val="28"/>
          <w:szCs w:val="28"/>
        </w:rPr>
        <w:t>第四条</w:t>
      </w:r>
      <w:r>
        <w:rPr>
          <w:rFonts w:ascii="黑体" w:hAnsi="Times New Roman" w:eastAsia="黑体" w:cs="黑体"/>
          <w:sz w:val="28"/>
          <w:szCs w:val="28"/>
        </w:rPr>
        <w:t xml:space="preserve"> </w:t>
      </w:r>
      <w:r>
        <w:rPr>
          <w:rFonts w:hint="eastAsia" w:ascii="黑体" w:hAnsi="Times New Roman" w:eastAsia="黑体" w:cs="黑体"/>
          <w:sz w:val="28"/>
          <w:szCs w:val="28"/>
        </w:rPr>
        <w:t>出现下列情况处置方将因拒收而不能上路</w:t>
      </w:r>
    </w:p>
    <w:p w14:paraId="65B233F6">
      <w:pPr>
        <w:spacing w:line="480" w:lineRule="exact"/>
        <w:ind w:firstLine="562" w:firstLineChars="200"/>
        <w:rPr>
          <w:rFonts w:ascii="楷体_GB2312" w:hAnsi="Times New Roman" w:eastAsia="楷体_GB2312" w:cs="Times New Roman"/>
          <w:b/>
          <w:bCs/>
          <w:sz w:val="28"/>
          <w:szCs w:val="28"/>
        </w:rPr>
      </w:pPr>
      <w:r>
        <w:rPr>
          <w:rFonts w:hint="eastAsia" w:ascii="楷体_GB2312" w:hAnsi="Times New Roman" w:eastAsia="楷体_GB2312" w:cs="楷体_GB2312"/>
          <w:b/>
          <w:bCs/>
          <w:sz w:val="28"/>
          <w:szCs w:val="28"/>
        </w:rPr>
        <w:t>（一）存放液体实验室废物的废液桶</w:t>
      </w:r>
      <w:r>
        <w:rPr>
          <w:rFonts w:hint="eastAsia" w:ascii="楷体_GB2312" w:hAnsi="Times New Roman" w:eastAsia="楷体_GB2312" w:cs="楷体_GB2312"/>
          <w:b/>
          <w:bCs/>
          <w:sz w:val="28"/>
          <w:szCs w:val="28"/>
          <w:lang w:val="en-US" w:eastAsia="zh-CN"/>
        </w:rPr>
        <w:t>储存</w:t>
      </w:r>
      <w:r>
        <w:rPr>
          <w:rFonts w:hint="eastAsia" w:ascii="楷体_GB2312" w:hAnsi="Times New Roman" w:eastAsia="楷体_GB2312" w:cs="楷体_GB2312"/>
          <w:b/>
          <w:bCs/>
          <w:sz w:val="28"/>
          <w:szCs w:val="28"/>
        </w:rPr>
        <w:t>不合要求：</w:t>
      </w:r>
    </w:p>
    <w:p w14:paraId="67419D70">
      <w:pPr>
        <w:spacing w:line="480" w:lineRule="exact"/>
        <w:ind w:firstLine="560" w:firstLineChars="200"/>
        <w:rPr>
          <w:rFonts w:ascii="仿宋_GB2312" w:hAnsi="Times New Roman" w:eastAsia="仿宋_GB2312" w:cs="Times New Roman"/>
          <w:sz w:val="28"/>
          <w:szCs w:val="28"/>
        </w:rPr>
      </w:pPr>
      <w:r>
        <w:rPr>
          <w:rFonts w:ascii="仿宋_GB2312" w:hAnsi="Times New Roman" w:eastAsia="仿宋_GB2312" w:cs="仿宋_GB2312"/>
          <w:sz w:val="28"/>
          <w:szCs w:val="28"/>
        </w:rPr>
        <w:t>1</w:t>
      </w:r>
      <w:r>
        <w:rPr>
          <w:rFonts w:hint="eastAsia" w:ascii="仿宋_GB2312" w:hAnsi="Times New Roman" w:eastAsia="仿宋_GB2312" w:cs="仿宋_GB2312"/>
          <w:sz w:val="28"/>
          <w:szCs w:val="28"/>
        </w:rPr>
        <w:t>、存装废液的容器不是</w:t>
      </w:r>
      <w:r>
        <w:rPr>
          <w:rFonts w:hint="eastAsia" w:ascii="仿宋_GB2312" w:hAnsi="Times New Roman" w:eastAsia="仿宋_GB2312" w:cs="仿宋_GB2312"/>
          <w:sz w:val="28"/>
          <w:szCs w:val="28"/>
          <w:lang w:val="en-US" w:eastAsia="zh-CN"/>
        </w:rPr>
        <w:t>符合要求</w:t>
      </w:r>
      <w:r>
        <w:rPr>
          <w:rFonts w:hint="eastAsia" w:ascii="仿宋_GB2312" w:hAnsi="Times New Roman" w:eastAsia="仿宋_GB2312" w:cs="仿宋_GB2312"/>
          <w:sz w:val="28"/>
          <w:szCs w:val="28"/>
        </w:rPr>
        <w:t>的小口废液桶</w:t>
      </w:r>
    </w:p>
    <w:p w14:paraId="1C80D851">
      <w:pPr>
        <w:spacing w:line="480" w:lineRule="exact"/>
        <w:ind w:firstLine="560" w:firstLineChars="200"/>
        <w:rPr>
          <w:rFonts w:ascii="仿宋_GB2312" w:hAnsi="Times New Roman" w:eastAsia="仿宋_GB2312" w:cs="Times New Roman"/>
          <w:sz w:val="28"/>
          <w:szCs w:val="28"/>
        </w:rPr>
      </w:pPr>
      <w:r>
        <w:rPr>
          <w:rFonts w:ascii="仿宋_GB2312" w:hAnsi="Times New Roman" w:eastAsia="仿宋_GB2312" w:cs="仿宋_GB2312"/>
          <w:sz w:val="28"/>
          <w:szCs w:val="28"/>
        </w:rPr>
        <w:t>2</w:t>
      </w:r>
      <w:r>
        <w:rPr>
          <w:rFonts w:hint="eastAsia" w:ascii="仿宋_GB2312" w:hAnsi="Times New Roman" w:eastAsia="仿宋_GB2312" w:cs="仿宋_GB2312"/>
          <w:sz w:val="28"/>
          <w:szCs w:val="28"/>
        </w:rPr>
        <w:t>、废液桶漏液，桶壁较多废液，或密封不严，可能导致渗漏</w:t>
      </w:r>
    </w:p>
    <w:p w14:paraId="32002920">
      <w:pPr>
        <w:spacing w:line="480" w:lineRule="exact"/>
        <w:ind w:firstLine="560" w:firstLineChars="200"/>
        <w:rPr>
          <w:rFonts w:ascii="仿宋_GB2312" w:hAnsi="Times New Roman" w:eastAsia="仿宋_GB2312" w:cs="Times New Roman"/>
          <w:sz w:val="28"/>
          <w:szCs w:val="28"/>
        </w:rPr>
      </w:pPr>
      <w:r>
        <w:rPr>
          <w:rFonts w:ascii="仿宋_GB2312" w:hAnsi="Times New Roman" w:eastAsia="仿宋_GB2312" w:cs="仿宋_GB2312"/>
          <w:sz w:val="28"/>
          <w:szCs w:val="28"/>
        </w:rPr>
        <w:t>3</w:t>
      </w:r>
      <w:r>
        <w:rPr>
          <w:rFonts w:hint="eastAsia" w:ascii="仿宋_GB2312" w:hAnsi="Times New Roman" w:eastAsia="仿宋_GB2312" w:cs="仿宋_GB2312"/>
          <w:sz w:val="28"/>
          <w:szCs w:val="28"/>
        </w:rPr>
        <w:t>、桶外壁没有国家统一标签和粘贴纸质台账或标签信息不全</w:t>
      </w:r>
    </w:p>
    <w:p w14:paraId="558BA7A3">
      <w:pPr>
        <w:spacing w:line="480" w:lineRule="exact"/>
        <w:ind w:firstLine="560" w:firstLineChars="200"/>
        <w:rPr>
          <w:rFonts w:ascii="仿宋_GB2312" w:hAnsi="Times New Roman" w:eastAsia="仿宋_GB2312" w:cs="Times New Roman"/>
          <w:sz w:val="28"/>
          <w:szCs w:val="28"/>
        </w:rPr>
      </w:pPr>
      <w:r>
        <w:rPr>
          <w:rFonts w:ascii="仿宋_GB2312" w:hAnsi="Times New Roman" w:eastAsia="仿宋_GB2312" w:cs="仿宋_GB2312"/>
          <w:sz w:val="28"/>
          <w:szCs w:val="28"/>
        </w:rPr>
        <w:t>4</w:t>
      </w:r>
      <w:r>
        <w:rPr>
          <w:rFonts w:hint="eastAsia" w:ascii="仿宋_GB2312" w:hAnsi="Times New Roman" w:eastAsia="仿宋_GB2312" w:cs="仿宋_GB2312"/>
          <w:sz w:val="28"/>
          <w:szCs w:val="28"/>
        </w:rPr>
        <w:t>、废液桶磨损严重，不宜再使用</w:t>
      </w:r>
    </w:p>
    <w:p w14:paraId="301D8F48">
      <w:pPr>
        <w:spacing w:line="480" w:lineRule="exact"/>
        <w:ind w:firstLine="560" w:firstLineChars="200"/>
        <w:rPr>
          <w:rFonts w:hint="eastAsia" w:ascii="仿宋_GB2312" w:hAnsi="Times New Roman" w:eastAsia="仿宋_GB2312" w:cs="仿宋_GB2312"/>
          <w:sz w:val="28"/>
          <w:szCs w:val="28"/>
        </w:rPr>
      </w:pPr>
      <w:r>
        <w:rPr>
          <w:rFonts w:ascii="仿宋_GB2312" w:hAnsi="Times New Roman" w:eastAsia="仿宋_GB2312" w:cs="仿宋_GB2312"/>
          <w:sz w:val="28"/>
          <w:szCs w:val="28"/>
        </w:rPr>
        <w:t>5</w:t>
      </w:r>
      <w:r>
        <w:rPr>
          <w:rFonts w:hint="eastAsia" w:ascii="仿宋_GB2312" w:hAnsi="Times New Roman" w:eastAsia="仿宋_GB2312" w:cs="仿宋_GB2312"/>
          <w:sz w:val="28"/>
          <w:szCs w:val="28"/>
        </w:rPr>
        <w:t>、不相容废液存放在同一废液桶内</w:t>
      </w:r>
    </w:p>
    <w:p w14:paraId="6DB3C09D">
      <w:pPr>
        <w:spacing w:line="480" w:lineRule="exact"/>
        <w:ind w:firstLine="560" w:firstLineChars="200"/>
        <w:rPr>
          <w:rFonts w:hint="eastAsia" w:ascii="仿宋_GB2312" w:hAnsi="Times New Roman" w:eastAsia="仿宋_GB2312" w:cs="仿宋_GB2312"/>
          <w:sz w:val="28"/>
          <w:szCs w:val="28"/>
          <w:lang w:val="en-US" w:eastAsia="zh-CN"/>
        </w:rPr>
      </w:pPr>
      <w:r>
        <w:rPr>
          <w:rFonts w:hint="eastAsia" w:ascii="仿宋_GB2312" w:hAnsi="Times New Roman" w:eastAsia="仿宋_GB2312" w:cs="仿宋_GB2312"/>
          <w:sz w:val="28"/>
          <w:szCs w:val="28"/>
          <w:lang w:val="en-US" w:eastAsia="zh-CN"/>
        </w:rPr>
        <w:t>6.申报或处置的危险化学品废弃物含有病原微生物、动物尸体或放射性核素</w:t>
      </w:r>
    </w:p>
    <w:p w14:paraId="13DD1A9F">
      <w:pPr>
        <w:spacing w:line="480" w:lineRule="exact"/>
        <w:ind w:firstLine="560" w:firstLineChars="200"/>
        <w:rPr>
          <w:rFonts w:hint="default" w:ascii="仿宋_GB2312" w:hAnsi="Times New Roman" w:eastAsia="仿宋_GB2312" w:cs="仿宋_GB2312"/>
          <w:sz w:val="28"/>
          <w:szCs w:val="28"/>
          <w:lang w:val="en-US" w:eastAsia="zh-CN"/>
        </w:rPr>
      </w:pPr>
      <w:r>
        <w:rPr>
          <w:rFonts w:hint="eastAsia" w:ascii="仿宋_GB2312" w:hAnsi="Times New Roman" w:eastAsia="仿宋_GB2312" w:cs="仿宋_GB2312"/>
          <w:sz w:val="28"/>
          <w:szCs w:val="28"/>
          <w:lang w:val="en-US" w:eastAsia="zh-CN"/>
        </w:rPr>
        <w:t>7.含有未申报的剧毒类管制品或不属于剧毒按照剧毒标注的</w:t>
      </w:r>
    </w:p>
    <w:p w14:paraId="7E4C340D">
      <w:pPr>
        <w:spacing w:line="480" w:lineRule="exact"/>
        <w:ind w:firstLine="562" w:firstLineChars="200"/>
        <w:rPr>
          <w:rFonts w:ascii="楷体_GB2312" w:hAnsi="Times New Roman" w:eastAsia="楷体_GB2312" w:cs="Times New Roman"/>
          <w:b/>
          <w:bCs/>
          <w:sz w:val="28"/>
          <w:szCs w:val="28"/>
        </w:rPr>
      </w:pPr>
      <w:r>
        <w:rPr>
          <w:rFonts w:hint="eastAsia" w:ascii="楷体_GB2312" w:hAnsi="Times New Roman" w:eastAsia="楷体_GB2312" w:cs="楷体_GB2312"/>
          <w:b/>
          <w:bCs/>
          <w:sz w:val="28"/>
          <w:szCs w:val="28"/>
        </w:rPr>
        <w:t>（二）存放废弃包装容器空瓶的纸箱不符合要求：</w:t>
      </w:r>
    </w:p>
    <w:p w14:paraId="54E4DA89">
      <w:pPr>
        <w:spacing w:line="480" w:lineRule="exact"/>
        <w:ind w:firstLine="560" w:firstLineChars="200"/>
        <w:rPr>
          <w:rFonts w:ascii="仿宋_GB2312" w:hAnsi="Times New Roman" w:eastAsia="仿宋_GB2312" w:cs="Times New Roman"/>
          <w:sz w:val="28"/>
          <w:szCs w:val="28"/>
        </w:rPr>
      </w:pPr>
      <w:r>
        <w:rPr>
          <w:rFonts w:ascii="仿宋_GB2312" w:hAnsi="Times New Roman" w:eastAsia="仿宋_GB2312" w:cs="仿宋_GB2312"/>
          <w:sz w:val="28"/>
          <w:szCs w:val="28"/>
        </w:rPr>
        <w:t>1</w:t>
      </w:r>
      <w:r>
        <w:rPr>
          <w:rFonts w:hint="eastAsia" w:ascii="仿宋_GB2312" w:hAnsi="Times New Roman" w:eastAsia="仿宋_GB2312" w:cs="仿宋_GB2312"/>
          <w:sz w:val="28"/>
          <w:szCs w:val="28"/>
        </w:rPr>
        <w:t>、纸箱外部没有国家统一标签和纸质装箱台账清单</w:t>
      </w:r>
    </w:p>
    <w:p w14:paraId="02A5270C">
      <w:pPr>
        <w:spacing w:line="240" w:lineRule="auto"/>
        <w:ind w:firstLine="560" w:firstLineChars="200"/>
        <w:rPr>
          <w:rFonts w:ascii="仿宋_GB2312" w:hAnsi="Times New Roman" w:eastAsia="仿宋_GB2312" w:cs="Times New Roman"/>
          <w:sz w:val="28"/>
          <w:szCs w:val="28"/>
        </w:rPr>
      </w:pPr>
      <w:r>
        <w:rPr>
          <w:rFonts w:ascii="仿宋_GB2312" w:hAnsi="Times New Roman" w:eastAsia="仿宋_GB2312" w:cs="仿宋_GB2312"/>
          <w:sz w:val="28"/>
          <w:szCs w:val="28"/>
        </w:rPr>
        <w:t>2</w:t>
      </w:r>
      <w:r>
        <w:rPr>
          <w:rFonts w:hint="eastAsia" w:ascii="仿宋_GB2312" w:hAnsi="Times New Roman" w:eastAsia="仿宋_GB2312" w:cs="仿宋_GB2312"/>
          <w:sz w:val="28"/>
          <w:szCs w:val="28"/>
        </w:rPr>
        <w:t>、纸箱内试剂空瓶没有按照要求分类封装和固定</w:t>
      </w:r>
    </w:p>
    <w:p w14:paraId="41A148B4">
      <w:pPr>
        <w:spacing w:line="480" w:lineRule="exact"/>
        <w:ind w:firstLine="560" w:firstLineChars="200"/>
        <w:rPr>
          <w:rFonts w:ascii="仿宋_GB2312" w:hAnsi="Times New Roman" w:eastAsia="仿宋_GB2312" w:cs="Times New Roman"/>
          <w:sz w:val="28"/>
          <w:szCs w:val="28"/>
        </w:rPr>
      </w:pPr>
      <w:r>
        <w:rPr>
          <w:rFonts w:ascii="仿宋_GB2312" w:hAnsi="Times New Roman" w:eastAsia="仿宋_GB2312" w:cs="仿宋_GB2312"/>
          <w:sz w:val="28"/>
          <w:szCs w:val="28"/>
        </w:rPr>
        <w:t>3</w:t>
      </w:r>
      <w:r>
        <w:rPr>
          <w:rFonts w:hint="eastAsia" w:ascii="仿宋_GB2312" w:hAnsi="Times New Roman" w:eastAsia="仿宋_GB2312" w:cs="仿宋_GB2312"/>
          <w:sz w:val="28"/>
          <w:szCs w:val="28"/>
        </w:rPr>
        <w:t>、纸箱底部没有用胶带纸进行加固</w:t>
      </w:r>
    </w:p>
    <w:p w14:paraId="37AE9661">
      <w:pPr>
        <w:spacing w:line="480" w:lineRule="exact"/>
        <w:ind w:firstLine="560" w:firstLineChars="200"/>
        <w:rPr>
          <w:rFonts w:ascii="仿宋_GB2312" w:hAnsi="Times New Roman" w:eastAsia="仿宋_GB2312" w:cs="Times New Roman"/>
          <w:sz w:val="28"/>
          <w:szCs w:val="28"/>
        </w:rPr>
      </w:pPr>
      <w:r>
        <w:rPr>
          <w:rFonts w:ascii="仿宋_GB2312" w:hAnsi="Times New Roman" w:eastAsia="仿宋_GB2312" w:cs="仿宋_GB2312"/>
          <w:sz w:val="28"/>
          <w:szCs w:val="28"/>
        </w:rPr>
        <w:t>4</w:t>
      </w:r>
      <w:r>
        <w:rPr>
          <w:rFonts w:hint="eastAsia" w:ascii="仿宋_GB2312" w:hAnsi="Times New Roman" w:eastAsia="仿宋_GB2312" w:cs="仿宋_GB2312"/>
          <w:sz w:val="28"/>
          <w:szCs w:val="28"/>
        </w:rPr>
        <w:t>、纸箱不结实或已破损</w:t>
      </w:r>
    </w:p>
    <w:p w14:paraId="1555E68D">
      <w:pPr>
        <w:spacing w:line="480" w:lineRule="exact"/>
        <w:ind w:firstLine="560" w:firstLineChars="200"/>
        <w:rPr>
          <w:rFonts w:ascii="仿宋_GB2312" w:hAnsi="Times New Roman" w:eastAsia="仿宋_GB2312" w:cs="仿宋_GB2312"/>
          <w:sz w:val="28"/>
          <w:szCs w:val="28"/>
        </w:rPr>
      </w:pPr>
      <w:r>
        <w:rPr>
          <w:rFonts w:ascii="仿宋_GB2312" w:hAnsi="Times New Roman" w:eastAsia="仿宋_GB2312" w:cs="仿宋_GB2312"/>
          <w:sz w:val="28"/>
          <w:szCs w:val="28"/>
        </w:rPr>
        <w:t>5</w:t>
      </w:r>
      <w:r>
        <w:rPr>
          <w:rFonts w:hint="eastAsia" w:ascii="仿宋_GB2312" w:hAnsi="Times New Roman" w:eastAsia="仿宋_GB2312" w:cs="仿宋_GB2312"/>
          <w:sz w:val="28"/>
          <w:szCs w:val="28"/>
        </w:rPr>
        <w:t>、空瓶内有液体试剂</w:t>
      </w:r>
    </w:p>
    <w:p w14:paraId="503C38E1">
      <w:pPr>
        <w:spacing w:line="480" w:lineRule="exact"/>
        <w:ind w:firstLine="560" w:firstLineChars="200"/>
        <w:rPr>
          <w:rFonts w:ascii="黑体" w:hAnsi="Times New Roman" w:eastAsia="黑体" w:cs="黑体"/>
          <w:sz w:val="28"/>
          <w:szCs w:val="28"/>
        </w:rPr>
      </w:pPr>
      <w:r>
        <w:rPr>
          <w:rFonts w:hint="eastAsia" w:ascii="黑体" w:hAnsi="Times New Roman" w:eastAsia="黑体" w:cs="黑体"/>
          <w:sz w:val="28"/>
          <w:szCs w:val="28"/>
        </w:rPr>
        <w:t>第五条 危废包装材质要求</w:t>
      </w:r>
    </w:p>
    <w:p w14:paraId="371F2B13">
      <w:pPr>
        <w:tabs>
          <w:tab w:val="left" w:pos="7170"/>
        </w:tabs>
        <w:spacing w:line="480" w:lineRule="exact"/>
        <w:rPr>
          <w:rFonts w:hint="eastAsia" w:ascii="楷体_GB2312" w:hAnsi="Times New Roman" w:eastAsia="楷体_GB2312" w:cs="楷体_GB2312"/>
          <w:b/>
          <w:bCs/>
          <w:sz w:val="28"/>
          <w:szCs w:val="28"/>
          <w:lang w:val="en-US" w:eastAsia="zh-CN"/>
        </w:rPr>
      </w:pPr>
      <w:r>
        <w:rPr>
          <w:rFonts w:hint="eastAsia" w:ascii="楷体_GB2312" w:hAnsi="Times New Roman" w:eastAsia="楷体_GB2312" w:cs="楷体_GB2312"/>
          <w:b/>
          <w:bCs/>
          <w:sz w:val="28"/>
          <w:szCs w:val="28"/>
        </w:rPr>
        <w:t>（一）</w:t>
      </w:r>
      <w:r>
        <w:rPr>
          <w:rFonts w:hint="eastAsia" w:ascii="楷体_GB2312" w:hAnsi="Times New Roman" w:eastAsia="楷体_GB2312" w:cs="楷体_GB2312"/>
          <w:b/>
          <w:bCs/>
          <w:sz w:val="28"/>
          <w:szCs w:val="28"/>
          <w:lang w:val="en-US" w:eastAsia="zh-CN"/>
        </w:rPr>
        <w:t>实验室安全管理部门按照</w:t>
      </w:r>
      <w:r>
        <w:rPr>
          <w:rFonts w:hint="eastAsia" w:ascii="楷体_GB2312" w:hAnsi="Times New Roman" w:eastAsia="楷体_GB2312" w:cs="楷体_GB2312"/>
          <w:b/>
          <w:bCs/>
          <w:sz w:val="28"/>
          <w:szCs w:val="28"/>
        </w:rPr>
        <w:t>国家</w:t>
      </w:r>
      <w:r>
        <w:rPr>
          <w:rFonts w:hint="eastAsia" w:ascii="楷体_GB2312" w:hAnsi="Times New Roman" w:eastAsia="楷体_GB2312" w:cs="楷体_GB2312"/>
          <w:b/>
          <w:bCs/>
          <w:sz w:val="28"/>
          <w:szCs w:val="28"/>
          <w:lang w:val="en-US" w:eastAsia="zh-CN"/>
        </w:rPr>
        <w:t>标准</w:t>
      </w:r>
      <w:r>
        <w:rPr>
          <w:rFonts w:hint="eastAsia" w:ascii="楷体_GB2312" w:hAnsi="Times New Roman" w:eastAsia="楷体_GB2312" w:cs="楷体_GB2312"/>
          <w:b/>
          <w:bCs/>
          <w:sz w:val="28"/>
          <w:szCs w:val="28"/>
        </w:rPr>
        <w:t>统一</w:t>
      </w:r>
      <w:r>
        <w:rPr>
          <w:rFonts w:hint="eastAsia" w:ascii="楷体_GB2312" w:hAnsi="Times New Roman" w:eastAsia="楷体_GB2312" w:cs="楷体_GB2312"/>
          <w:b/>
          <w:bCs/>
          <w:sz w:val="28"/>
          <w:szCs w:val="28"/>
          <w:lang w:val="en-US" w:eastAsia="zh-CN"/>
        </w:rPr>
        <w:t>制作标签</w:t>
      </w:r>
    </w:p>
    <w:p w14:paraId="3B0B269F">
      <w:pPr>
        <w:tabs>
          <w:tab w:val="left" w:pos="7170"/>
        </w:tabs>
        <w:spacing w:line="240" w:lineRule="auto"/>
        <w:jc w:val="center"/>
        <w:rPr>
          <w:rFonts w:hint="eastAsia" w:ascii="楷体_GB2312" w:hAnsi="Times New Roman" w:eastAsia="楷体_GB2312" w:cs="楷体_GB2312"/>
          <w:b/>
          <w:bCs/>
          <w:sz w:val="28"/>
          <w:szCs w:val="28"/>
          <w:lang w:eastAsia="zh-CN"/>
        </w:rPr>
      </w:pPr>
      <w:bookmarkStart w:id="0" w:name="_GoBack"/>
      <w:r>
        <w:rPr>
          <w:rFonts w:hint="eastAsia" w:ascii="楷体_GB2312" w:hAnsi="Times New Roman" w:eastAsia="楷体_GB2312" w:cs="楷体_GB2312"/>
          <w:b/>
          <w:bCs/>
          <w:sz w:val="28"/>
          <w:szCs w:val="28"/>
          <w:lang w:eastAsia="zh-CN"/>
        </w:rPr>
        <w:pict>
          <v:shape id="_x0000_i1028" o:spt="75" alt="2c62a1762f88a8b4ecce0efac14d18a" type="#_x0000_t75" style="height:257.75pt;width:257.75pt;" filled="f" o:preferrelative="t" stroked="f" coordsize="21600,21600">
            <v:path/>
            <v:fill on="f" focussize="0,0"/>
            <v:stroke on="f"/>
            <v:imagedata r:id="rId4" o:title="2c62a1762f88a8b4ecce0efac14d18a"/>
            <o:lock v:ext="edit" aspectratio="t"/>
            <w10:wrap type="none"/>
            <w10:anchorlock/>
          </v:shape>
        </w:pict>
      </w:r>
      <w:bookmarkEnd w:id="0"/>
    </w:p>
    <w:p w14:paraId="516536A3">
      <w:pPr>
        <w:tabs>
          <w:tab w:val="left" w:pos="7170"/>
        </w:tabs>
        <w:spacing w:line="480" w:lineRule="exact"/>
        <w:ind w:firstLine="2160" w:firstLineChars="900"/>
        <w:rPr>
          <w:rFonts w:ascii="黑体" w:hAnsi="黑体" w:eastAsia="黑体" w:cs="黑体"/>
          <w:sz w:val="24"/>
          <w:szCs w:val="24"/>
        </w:rPr>
      </w:pPr>
      <w:r>
        <w:rPr>
          <w:rFonts w:hint="eastAsia" w:ascii="黑体" w:hAnsi="黑体" w:eastAsia="黑体" w:cs="黑体"/>
          <w:sz w:val="24"/>
          <w:szCs w:val="24"/>
        </w:rPr>
        <w:t>上图：标签及警示标志</w:t>
      </w:r>
      <w:r>
        <w:rPr>
          <w:rFonts w:hint="eastAsia" w:ascii="黑体" w:hAnsi="黑体" w:eastAsia="黑体" w:cs="黑体"/>
          <w:sz w:val="24"/>
          <w:szCs w:val="24"/>
          <w:lang w:val="en-US" w:eastAsia="zh-CN"/>
        </w:rPr>
        <w:t>示意图</w:t>
      </w:r>
      <w:r>
        <w:rPr>
          <w:rFonts w:hint="eastAsia" w:ascii="黑体" w:hAnsi="黑体" w:eastAsia="黑体" w:cs="黑体"/>
          <w:sz w:val="24"/>
          <w:szCs w:val="24"/>
        </w:rPr>
        <w:t>（见附件四）</w:t>
      </w:r>
    </w:p>
    <w:p w14:paraId="494154C8">
      <w:pPr>
        <w:spacing w:line="480" w:lineRule="exact"/>
        <w:ind w:firstLine="560" w:firstLineChars="200"/>
        <w:rPr>
          <w:rFonts w:ascii="仿宋_GB2312" w:hAnsi="Times New Roman" w:eastAsia="仿宋_GB2312" w:cs="仿宋_GB2312"/>
          <w:sz w:val="28"/>
          <w:szCs w:val="28"/>
        </w:rPr>
      </w:pPr>
      <w:r>
        <w:rPr>
          <w:rFonts w:hint="eastAsia" w:ascii="仿宋_GB2312" w:hAnsi="Times New Roman" w:eastAsia="仿宋_GB2312" w:cs="仿宋_GB2312"/>
          <w:sz w:val="28"/>
          <w:szCs w:val="28"/>
        </w:rPr>
        <w:t>根据《中华人民固体废物污染环境防治法》等有关规定要求，需按本标准对危废粘贴标签。</w:t>
      </w:r>
      <w:r>
        <w:rPr>
          <w:rFonts w:hint="eastAsia" w:ascii="仿宋_GB2312" w:hAnsi="Times New Roman" w:eastAsia="仿宋_GB2312" w:cs="仿宋_GB2312"/>
          <w:b/>
          <w:bCs/>
          <w:sz w:val="28"/>
          <w:szCs w:val="28"/>
        </w:rPr>
        <w:t>一是</w:t>
      </w:r>
      <w:r>
        <w:rPr>
          <w:rFonts w:hint="eastAsia" w:ascii="仿宋_GB2312" w:hAnsi="Times New Roman" w:eastAsia="仿宋_GB2312" w:cs="仿宋_GB2312"/>
          <w:sz w:val="28"/>
          <w:szCs w:val="28"/>
          <w:highlight w:val="yellow"/>
        </w:rPr>
        <w:t>标签黄底黑字</w:t>
      </w:r>
      <w:r>
        <w:rPr>
          <w:rFonts w:hint="eastAsia" w:ascii="仿宋_GB2312" w:hAnsi="Times New Roman" w:eastAsia="仿宋_GB2312" w:cs="仿宋_GB2312"/>
          <w:sz w:val="28"/>
          <w:szCs w:val="28"/>
          <w:highlight w:val="yellow"/>
          <w:lang w:eastAsia="zh-CN"/>
        </w:rPr>
        <w:t>，</w:t>
      </w:r>
      <w:r>
        <w:rPr>
          <w:rFonts w:hint="eastAsia" w:ascii="仿宋_GB2312" w:hAnsi="Times New Roman" w:eastAsia="仿宋_GB2312" w:cs="仿宋_GB2312"/>
          <w:sz w:val="28"/>
          <w:szCs w:val="28"/>
          <w:highlight w:val="yellow"/>
          <w:lang w:val="en-US" w:eastAsia="zh-CN"/>
        </w:rPr>
        <w:t>有二维码，</w:t>
      </w:r>
      <w:r>
        <w:rPr>
          <w:rFonts w:hint="eastAsia" w:ascii="仿宋_GB2312" w:hAnsi="Times New Roman" w:eastAsia="仿宋_GB2312" w:cs="仿宋_GB2312"/>
          <w:b/>
          <w:bCs/>
          <w:sz w:val="28"/>
          <w:szCs w:val="28"/>
        </w:rPr>
        <w:t>二是</w:t>
      </w:r>
      <w:r>
        <w:rPr>
          <w:rFonts w:hint="eastAsia" w:ascii="仿宋_GB2312" w:hAnsi="Times New Roman" w:eastAsia="仿宋_GB2312" w:cs="仿宋_GB2312"/>
          <w:sz w:val="28"/>
          <w:szCs w:val="28"/>
        </w:rPr>
        <w:t>标识上须提供下列文字说明：应有“危险废物”字样和单位名称、地址、联系人及联系电话，化学废物的化学品学名、危险类别。</w:t>
      </w:r>
      <w:r>
        <w:rPr>
          <w:rFonts w:hint="eastAsia" w:ascii="仿宋_GB2312" w:hAnsi="Times New Roman" w:eastAsia="仿宋_GB2312" w:cs="仿宋_GB2312"/>
          <w:b/>
          <w:bCs/>
          <w:sz w:val="28"/>
          <w:szCs w:val="28"/>
        </w:rPr>
        <w:t>三是</w:t>
      </w:r>
      <w:r>
        <w:rPr>
          <w:rFonts w:hint="eastAsia" w:ascii="仿宋_GB2312" w:hAnsi="Times New Roman" w:eastAsia="仿宋_GB2312" w:cs="仿宋_GB2312"/>
          <w:sz w:val="28"/>
          <w:szCs w:val="28"/>
        </w:rPr>
        <w:t>危废标签应分贴在容器的两旁而非盖顶，且不被容器任</w:t>
      </w:r>
      <w:r>
        <w:rPr>
          <w:rFonts w:hint="eastAsia" w:ascii="仿宋_GB2312" w:hAnsi="Times New Roman" w:eastAsia="仿宋_GB2312" w:cs="仿宋_GB2312"/>
          <w:color w:val="000000"/>
          <w:sz w:val="28"/>
          <w:szCs w:val="28"/>
        </w:rPr>
        <w:t>何部分或容器的配件阻挡及遮盖。</w:t>
      </w:r>
      <w:r>
        <w:rPr>
          <w:rFonts w:hint="eastAsia" w:ascii="仿宋_GB2312" w:hAnsi="Times New Roman" w:eastAsia="仿宋_GB2312" w:cs="仿宋_GB2312"/>
          <w:b/>
          <w:bCs/>
          <w:color w:val="000000"/>
          <w:sz w:val="28"/>
          <w:szCs w:val="28"/>
        </w:rPr>
        <w:t>四是</w:t>
      </w:r>
      <w:r>
        <w:rPr>
          <w:rFonts w:hint="eastAsia" w:ascii="仿宋_GB2312" w:hAnsi="Times New Roman" w:eastAsia="仿宋_GB2312" w:cs="仿宋_GB2312"/>
          <w:color w:val="000000"/>
          <w:sz w:val="28"/>
          <w:szCs w:val="28"/>
        </w:rPr>
        <w:t>确保包装上的旧标识被除去，以免干扰。</w:t>
      </w:r>
      <w:r>
        <w:rPr>
          <w:rFonts w:hint="eastAsia" w:ascii="仿宋_GB2312" w:hAnsi="Times New Roman" w:eastAsia="仿宋_GB2312" w:cs="仿宋_GB2312"/>
          <w:b/>
          <w:bCs/>
          <w:color w:val="000000"/>
          <w:sz w:val="28"/>
          <w:szCs w:val="28"/>
        </w:rPr>
        <w:t>五是</w:t>
      </w:r>
      <w:r>
        <w:rPr>
          <w:rFonts w:hint="eastAsia" w:ascii="仿宋_GB2312" w:hAnsi="Times New Roman" w:eastAsia="仿宋_GB2312" w:cs="仿宋_GB2312"/>
          <w:color w:val="000000"/>
          <w:sz w:val="28"/>
          <w:szCs w:val="28"/>
        </w:rPr>
        <w:t>危险类别标识符号（见下表），大部分危险废物只需选用其中一个首要的类别符号。</w:t>
      </w:r>
    </w:p>
    <w:p w14:paraId="05B7BDC2">
      <w:pPr>
        <w:snapToGrid w:val="0"/>
        <w:spacing w:line="240" w:lineRule="auto"/>
        <w:ind w:firstLine="220"/>
        <w:rPr>
          <w:rFonts w:ascii="仿宋_GB2312" w:hAnsi="Times New Roman" w:eastAsia="仿宋_GB2312" w:cs="仿宋_GB2312"/>
          <w:sz w:val="28"/>
          <w:szCs w:val="28"/>
        </w:rPr>
      </w:pPr>
      <w:r>
        <w:rPr>
          <w:rFonts w:hint="eastAsia" w:ascii="宋体" w:hAnsi="宋体"/>
          <w:sz w:val="24"/>
          <w:szCs w:val="24"/>
        </w:rPr>
        <w:t xml:space="preserve"> </w:t>
      </w:r>
      <w:r>
        <w:pict>
          <v:shape id="_x0000_i1026" o:spt="75" type="#_x0000_t75" style="height:325.8pt;width:414.85pt;" filled="f" stroked="f" coordsize="21600,21600">
            <v:path/>
            <v:fill on="f" focussize="0,0"/>
            <v:stroke on="f"/>
            <v:imagedata r:id="rId5" o:title=""/>
            <o:lock v:ext="edit" aspectratio="t"/>
            <w10:wrap type="none"/>
            <w10:anchorlock/>
          </v:shape>
        </w:pict>
      </w:r>
    </w:p>
    <w:p w14:paraId="6011DBA6">
      <w:pPr>
        <w:spacing w:line="480" w:lineRule="exact"/>
        <w:rPr>
          <w:rFonts w:ascii="楷体_GB2312" w:hAnsi="Times New Roman" w:eastAsia="楷体_GB2312" w:cs="楷体_GB2312"/>
          <w:b/>
          <w:bCs/>
          <w:sz w:val="28"/>
          <w:szCs w:val="28"/>
        </w:rPr>
      </w:pPr>
      <w:r>
        <w:rPr>
          <w:rFonts w:hint="eastAsia" w:ascii="楷体_GB2312" w:hAnsi="Times New Roman" w:eastAsia="楷体_GB2312" w:cs="楷体_GB2312"/>
          <w:b/>
          <w:bCs/>
          <w:sz w:val="28"/>
          <w:szCs w:val="28"/>
        </w:rPr>
        <w:t>（二）包装材质与危险废物相容性要求</w:t>
      </w:r>
    </w:p>
    <w:p w14:paraId="64E5225C">
      <w:pPr>
        <w:spacing w:line="480" w:lineRule="exact"/>
        <w:ind w:firstLine="560" w:firstLineChars="200"/>
        <w:rPr>
          <w:rFonts w:hint="eastAsia" w:ascii="仿宋_GB2312" w:hAnsi="Times New Roman" w:eastAsia="仿宋_GB2312" w:cs="仿宋_GB2312"/>
          <w:sz w:val="28"/>
          <w:szCs w:val="28"/>
        </w:rPr>
      </w:pPr>
      <w:r>
        <w:rPr>
          <w:rFonts w:hint="eastAsia" w:ascii="仿宋_GB2312" w:hAnsi="Times New Roman" w:eastAsia="仿宋_GB2312" w:cs="仿宋_GB2312"/>
          <w:sz w:val="28"/>
          <w:szCs w:val="28"/>
        </w:rPr>
        <w:t>包装材质与危险废物应相容，具体见下表。包装物必须坚固不易碎，防渗性能良好，并且不会因温度，温度的变化而显著软化、脆化或增加其渗透性。</w:t>
      </w:r>
    </w:p>
    <w:p w14:paraId="53438F2A">
      <w:pPr>
        <w:spacing w:line="480" w:lineRule="exact"/>
        <w:ind w:firstLine="560" w:firstLineChars="200"/>
        <w:rPr>
          <w:rFonts w:hint="eastAsia" w:ascii="仿宋_GB2312" w:hAnsi="Times New Roman" w:eastAsia="仿宋_GB2312" w:cs="仿宋_GB2312"/>
          <w:sz w:val="28"/>
          <w:szCs w:val="28"/>
        </w:rPr>
      </w:pPr>
    </w:p>
    <w:p w14:paraId="35EB83CC">
      <w:pPr>
        <w:spacing w:line="480" w:lineRule="exact"/>
        <w:ind w:firstLine="560" w:firstLineChars="200"/>
        <w:rPr>
          <w:rFonts w:hint="eastAsia" w:ascii="仿宋_GB2312" w:hAnsi="Times New Roman" w:eastAsia="仿宋_GB2312" w:cs="仿宋_GB2312"/>
          <w:sz w:val="28"/>
          <w:szCs w:val="28"/>
        </w:rPr>
      </w:pPr>
    </w:p>
    <w:p w14:paraId="655E3399">
      <w:pPr>
        <w:spacing w:line="480" w:lineRule="exact"/>
        <w:ind w:firstLine="560" w:firstLineChars="200"/>
        <w:rPr>
          <w:rFonts w:hint="eastAsia" w:ascii="仿宋_GB2312" w:hAnsi="Times New Roman" w:eastAsia="仿宋_GB2312" w:cs="仿宋_GB2312"/>
          <w:sz w:val="28"/>
          <w:szCs w:val="28"/>
        </w:rPr>
      </w:pPr>
    </w:p>
    <w:p w14:paraId="0D8CF8F8">
      <w:pPr>
        <w:spacing w:line="480" w:lineRule="exact"/>
        <w:ind w:firstLine="560" w:firstLineChars="200"/>
        <w:rPr>
          <w:rFonts w:hint="eastAsia" w:ascii="仿宋_GB2312" w:hAnsi="Times New Roman" w:eastAsia="仿宋_GB2312" w:cs="仿宋_GB2312"/>
          <w:sz w:val="28"/>
          <w:szCs w:val="28"/>
        </w:rPr>
      </w:pPr>
    </w:p>
    <w:p w14:paraId="5C9601F2">
      <w:pPr>
        <w:spacing w:line="480" w:lineRule="exact"/>
        <w:ind w:firstLine="560" w:firstLineChars="200"/>
        <w:rPr>
          <w:rFonts w:hint="eastAsia" w:ascii="仿宋_GB2312" w:hAnsi="Times New Roman" w:eastAsia="仿宋_GB2312" w:cs="仿宋_GB2312"/>
          <w:sz w:val="28"/>
          <w:szCs w:val="28"/>
        </w:rPr>
      </w:pPr>
    </w:p>
    <w:p w14:paraId="762C2E01">
      <w:pPr>
        <w:spacing w:line="480" w:lineRule="exact"/>
        <w:ind w:firstLine="560" w:firstLineChars="200"/>
        <w:rPr>
          <w:rFonts w:hint="eastAsia" w:ascii="仿宋_GB2312" w:hAnsi="Times New Roman" w:eastAsia="仿宋_GB2312" w:cs="仿宋_GB2312"/>
          <w:sz w:val="28"/>
          <w:szCs w:val="28"/>
        </w:rPr>
      </w:pPr>
    </w:p>
    <w:p w14:paraId="5B46B203">
      <w:pPr>
        <w:spacing w:line="480" w:lineRule="exact"/>
        <w:ind w:firstLine="560" w:firstLineChars="200"/>
        <w:rPr>
          <w:rFonts w:ascii="仿宋_GB2312" w:hAnsi="Times New Roman" w:eastAsia="仿宋_GB2312" w:cs="仿宋_GB2312"/>
          <w:sz w:val="28"/>
          <w:szCs w:val="28"/>
        </w:rPr>
      </w:pPr>
    </w:p>
    <w:p w14:paraId="7D554597">
      <w:pPr>
        <w:spacing w:line="480" w:lineRule="exact"/>
        <w:ind w:firstLine="560" w:firstLineChars="200"/>
        <w:rPr>
          <w:rFonts w:ascii="仿宋_GB2312" w:hAnsi="Times New Roman" w:eastAsia="仿宋_GB2312" w:cs="仿宋_GB2312"/>
          <w:sz w:val="28"/>
          <w:szCs w:val="28"/>
        </w:rPr>
      </w:pPr>
    </w:p>
    <w:p w14:paraId="0664DB8E">
      <w:pPr>
        <w:spacing w:line="480" w:lineRule="exact"/>
        <w:ind w:firstLine="560" w:firstLineChars="200"/>
        <w:rPr>
          <w:rFonts w:ascii="仿宋_GB2312" w:hAnsi="Times New Roman" w:eastAsia="仿宋_GB2312" w:cs="仿宋_GB2312"/>
          <w:sz w:val="28"/>
          <w:szCs w:val="28"/>
        </w:rPr>
      </w:pPr>
    </w:p>
    <w:p w14:paraId="2761531A">
      <w:pPr>
        <w:spacing w:line="360" w:lineRule="auto"/>
        <w:jc w:val="left"/>
        <w:rPr>
          <w:b/>
          <w:bCs/>
          <w:sz w:val="28"/>
          <w:szCs w:val="28"/>
        </w:rPr>
      </w:pPr>
      <w:r>
        <w:rPr>
          <w:rFonts w:ascii="仿宋_GB2312" w:hAnsi="Times New Roman" w:eastAsia="仿宋_GB2312" w:cs="仿宋_GB2312"/>
          <w:sz w:val="28"/>
          <w:szCs w:val="28"/>
        </w:rPr>
        <w:t xml:space="preserve">  </w:t>
      </w:r>
      <w:r>
        <w:rPr>
          <w:rFonts w:hint="eastAsia"/>
          <w:sz w:val="24"/>
          <w:szCs w:val="24"/>
        </w:rPr>
        <w:t xml:space="preserve">表一              </w:t>
      </w:r>
      <w:r>
        <w:rPr>
          <w:rFonts w:hint="eastAsia"/>
          <w:b/>
          <w:bCs/>
          <w:sz w:val="28"/>
          <w:szCs w:val="28"/>
        </w:rPr>
        <w:t>不同危险废物与一般容器相容性</w:t>
      </w:r>
    </w:p>
    <w:tbl>
      <w:tblPr>
        <w:tblStyle w:val="6"/>
        <w:tblpPr w:leftFromText="180" w:rightFromText="180" w:vertAnchor="text" w:horzAnchor="page" w:tblpX="1217" w:tblpY="193"/>
        <w:tblOverlap w:val="never"/>
        <w:tblW w:w="100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40"/>
        <w:gridCol w:w="1733"/>
        <w:gridCol w:w="652"/>
        <w:gridCol w:w="660"/>
        <w:gridCol w:w="660"/>
        <w:gridCol w:w="900"/>
        <w:gridCol w:w="795"/>
        <w:gridCol w:w="960"/>
        <w:gridCol w:w="750"/>
        <w:gridCol w:w="855"/>
      </w:tblGrid>
      <w:tr w14:paraId="5C377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40" w:type="dxa"/>
            <w:vMerge w:val="restart"/>
            <w:shd w:val="clear" w:color="auto" w:fill="auto"/>
            <w:vAlign w:val="center"/>
          </w:tcPr>
          <w:p w14:paraId="0E4D185B">
            <w:pPr>
              <w:snapToGrid w:val="0"/>
              <w:spacing w:line="420" w:lineRule="exact"/>
              <w:jc w:val="center"/>
              <w:rPr>
                <w:color w:val="000000"/>
              </w:rPr>
            </w:pPr>
            <w:r>
              <w:rPr>
                <w:rFonts w:hint="eastAsia"/>
                <w:color w:val="000000"/>
              </w:rPr>
              <w:t>危废名称</w:t>
            </w:r>
          </w:p>
        </w:tc>
        <w:tc>
          <w:tcPr>
            <w:tcW w:w="1733" w:type="dxa"/>
            <w:vMerge w:val="restart"/>
            <w:shd w:val="clear" w:color="auto" w:fill="auto"/>
            <w:vAlign w:val="center"/>
          </w:tcPr>
          <w:p w14:paraId="3A84E3DF">
            <w:pPr>
              <w:snapToGrid w:val="0"/>
              <w:spacing w:line="420" w:lineRule="exact"/>
              <w:jc w:val="center"/>
              <w:rPr>
                <w:color w:val="000000"/>
              </w:rPr>
            </w:pPr>
            <w:r>
              <w:rPr>
                <w:rFonts w:hint="eastAsia"/>
                <w:color w:val="000000"/>
              </w:rPr>
              <w:t>典型类别</w:t>
            </w:r>
          </w:p>
        </w:tc>
        <w:tc>
          <w:tcPr>
            <w:tcW w:w="6232" w:type="dxa"/>
            <w:gridSpan w:val="8"/>
            <w:shd w:val="clear" w:color="auto" w:fill="auto"/>
            <w:vAlign w:val="center"/>
          </w:tcPr>
          <w:p w14:paraId="3DA13E16">
            <w:pPr>
              <w:snapToGrid w:val="0"/>
              <w:spacing w:line="420" w:lineRule="exact"/>
              <w:jc w:val="center"/>
              <w:rPr>
                <w:color w:val="000000"/>
              </w:rPr>
            </w:pPr>
            <w:r>
              <w:rPr>
                <w:rFonts w:hint="eastAsia"/>
                <w:color w:val="000000"/>
              </w:rPr>
              <w:t>容器或衬垫的材料</w:t>
            </w:r>
          </w:p>
        </w:tc>
      </w:tr>
      <w:tr w14:paraId="3394A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040" w:type="dxa"/>
            <w:vMerge w:val="continue"/>
            <w:shd w:val="clear" w:color="auto" w:fill="auto"/>
          </w:tcPr>
          <w:p w14:paraId="38D0ABFF">
            <w:pPr>
              <w:snapToGrid w:val="0"/>
              <w:jc w:val="center"/>
              <w:rPr>
                <w:color w:val="000000"/>
              </w:rPr>
            </w:pPr>
          </w:p>
        </w:tc>
        <w:tc>
          <w:tcPr>
            <w:tcW w:w="1733" w:type="dxa"/>
            <w:vMerge w:val="continue"/>
            <w:shd w:val="clear" w:color="auto" w:fill="auto"/>
          </w:tcPr>
          <w:p w14:paraId="6A55D934">
            <w:pPr>
              <w:snapToGrid w:val="0"/>
              <w:spacing w:line="420" w:lineRule="exact"/>
              <w:jc w:val="left"/>
              <w:rPr>
                <w:color w:val="000000"/>
              </w:rPr>
            </w:pPr>
          </w:p>
        </w:tc>
        <w:tc>
          <w:tcPr>
            <w:tcW w:w="652" w:type="dxa"/>
            <w:vMerge w:val="restart"/>
            <w:shd w:val="clear" w:color="auto" w:fill="auto"/>
            <w:vAlign w:val="center"/>
          </w:tcPr>
          <w:p w14:paraId="2314E8ED">
            <w:pPr>
              <w:snapToGrid w:val="0"/>
              <w:ind w:right="-121"/>
              <w:jc w:val="center"/>
              <w:rPr>
                <w:color w:val="000000"/>
              </w:rPr>
            </w:pPr>
            <w:r>
              <w:rPr>
                <w:rFonts w:hint="eastAsia"/>
                <w:color w:val="000000"/>
              </w:rPr>
              <w:t>高密度聚乙烯HDPE</w:t>
            </w:r>
          </w:p>
        </w:tc>
        <w:tc>
          <w:tcPr>
            <w:tcW w:w="660" w:type="dxa"/>
            <w:vMerge w:val="restart"/>
            <w:shd w:val="clear" w:color="auto" w:fill="auto"/>
            <w:vAlign w:val="center"/>
          </w:tcPr>
          <w:p w14:paraId="7CB61AAA">
            <w:pPr>
              <w:snapToGrid w:val="0"/>
              <w:ind w:right="-111" w:hanging="200"/>
              <w:jc w:val="center"/>
              <w:rPr>
                <w:color w:val="000000"/>
              </w:rPr>
            </w:pPr>
            <w:r>
              <w:rPr>
                <w:rFonts w:hint="eastAsia"/>
                <w:color w:val="000000"/>
              </w:rPr>
              <w:t>聚丙烯</w:t>
            </w:r>
          </w:p>
          <w:p w14:paraId="07909809">
            <w:pPr>
              <w:snapToGrid w:val="0"/>
              <w:jc w:val="center"/>
              <w:rPr>
                <w:color w:val="000000"/>
              </w:rPr>
            </w:pPr>
            <w:r>
              <w:rPr>
                <w:rFonts w:hint="eastAsia"/>
                <w:color w:val="000000"/>
              </w:rPr>
              <w:t>PP</w:t>
            </w:r>
          </w:p>
        </w:tc>
        <w:tc>
          <w:tcPr>
            <w:tcW w:w="660" w:type="dxa"/>
            <w:vMerge w:val="restart"/>
            <w:shd w:val="clear" w:color="auto" w:fill="auto"/>
            <w:vAlign w:val="center"/>
          </w:tcPr>
          <w:p w14:paraId="3855F167">
            <w:pPr>
              <w:snapToGrid w:val="0"/>
              <w:ind w:right="-126"/>
              <w:jc w:val="center"/>
              <w:rPr>
                <w:color w:val="000000"/>
              </w:rPr>
            </w:pPr>
            <w:r>
              <w:rPr>
                <w:rFonts w:hint="eastAsia"/>
                <w:color w:val="000000"/>
              </w:rPr>
              <w:t>聚氯乙烯</w:t>
            </w:r>
          </w:p>
          <w:p w14:paraId="4CB798E3">
            <w:pPr>
              <w:snapToGrid w:val="0"/>
              <w:jc w:val="center"/>
              <w:rPr>
                <w:color w:val="000000"/>
              </w:rPr>
            </w:pPr>
            <w:r>
              <w:rPr>
                <w:rFonts w:hint="eastAsia"/>
                <w:color w:val="000000"/>
              </w:rPr>
              <w:t>PVC</w:t>
            </w:r>
          </w:p>
        </w:tc>
        <w:tc>
          <w:tcPr>
            <w:tcW w:w="900" w:type="dxa"/>
            <w:vMerge w:val="restart"/>
            <w:shd w:val="clear" w:color="auto" w:fill="auto"/>
            <w:vAlign w:val="center"/>
          </w:tcPr>
          <w:p w14:paraId="524C214B">
            <w:pPr>
              <w:snapToGrid w:val="0"/>
              <w:jc w:val="center"/>
              <w:rPr>
                <w:color w:val="000000"/>
              </w:rPr>
            </w:pPr>
            <w:r>
              <w:rPr>
                <w:rFonts w:hint="eastAsia"/>
                <w:color w:val="000000"/>
              </w:rPr>
              <w:t>聚四氟乙烯</w:t>
            </w:r>
          </w:p>
          <w:p w14:paraId="1D413D72">
            <w:pPr>
              <w:snapToGrid w:val="0"/>
              <w:jc w:val="center"/>
              <w:rPr>
                <w:color w:val="000000"/>
              </w:rPr>
            </w:pPr>
            <w:r>
              <w:rPr>
                <w:rFonts w:hint="eastAsia"/>
                <w:color w:val="000000"/>
              </w:rPr>
              <w:t>PTFE</w:t>
            </w:r>
          </w:p>
        </w:tc>
        <w:tc>
          <w:tcPr>
            <w:tcW w:w="795" w:type="dxa"/>
            <w:vMerge w:val="restart"/>
            <w:shd w:val="clear" w:color="auto" w:fill="auto"/>
            <w:vAlign w:val="center"/>
          </w:tcPr>
          <w:p w14:paraId="3CB5076B">
            <w:pPr>
              <w:snapToGrid w:val="0"/>
              <w:jc w:val="center"/>
              <w:rPr>
                <w:color w:val="000000"/>
              </w:rPr>
            </w:pPr>
            <w:r>
              <w:rPr>
                <w:rFonts w:hint="eastAsia"/>
                <w:color w:val="000000"/>
              </w:rPr>
              <w:t>软碳钢</w:t>
            </w:r>
          </w:p>
        </w:tc>
        <w:tc>
          <w:tcPr>
            <w:tcW w:w="2565" w:type="dxa"/>
            <w:gridSpan w:val="3"/>
            <w:shd w:val="clear" w:color="auto" w:fill="auto"/>
            <w:vAlign w:val="center"/>
          </w:tcPr>
          <w:p w14:paraId="1ADEEE34">
            <w:pPr>
              <w:snapToGrid w:val="0"/>
              <w:jc w:val="center"/>
              <w:rPr>
                <w:color w:val="000000"/>
              </w:rPr>
            </w:pPr>
            <w:r>
              <w:rPr>
                <w:rFonts w:hint="eastAsia"/>
                <w:color w:val="000000"/>
              </w:rPr>
              <w:t>不锈钢</w:t>
            </w:r>
          </w:p>
        </w:tc>
      </w:tr>
      <w:tr w14:paraId="7447F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9" w:hRule="atLeast"/>
        </w:trPr>
        <w:tc>
          <w:tcPr>
            <w:tcW w:w="2040" w:type="dxa"/>
            <w:vMerge w:val="continue"/>
            <w:shd w:val="clear" w:color="auto" w:fill="auto"/>
          </w:tcPr>
          <w:p w14:paraId="6B069CFB">
            <w:pPr>
              <w:snapToGrid w:val="0"/>
              <w:rPr>
                <w:color w:val="000000"/>
              </w:rPr>
            </w:pPr>
          </w:p>
        </w:tc>
        <w:tc>
          <w:tcPr>
            <w:tcW w:w="1733" w:type="dxa"/>
            <w:vMerge w:val="continue"/>
            <w:shd w:val="clear" w:color="auto" w:fill="auto"/>
          </w:tcPr>
          <w:p w14:paraId="39BC4BDB">
            <w:pPr>
              <w:snapToGrid w:val="0"/>
              <w:spacing w:line="420" w:lineRule="exact"/>
              <w:jc w:val="left"/>
              <w:rPr>
                <w:color w:val="000000"/>
              </w:rPr>
            </w:pPr>
          </w:p>
        </w:tc>
        <w:tc>
          <w:tcPr>
            <w:tcW w:w="652" w:type="dxa"/>
            <w:vMerge w:val="continue"/>
            <w:shd w:val="clear" w:color="auto" w:fill="auto"/>
            <w:vAlign w:val="center"/>
          </w:tcPr>
          <w:p w14:paraId="13A34447">
            <w:pPr>
              <w:snapToGrid w:val="0"/>
              <w:jc w:val="center"/>
              <w:rPr>
                <w:color w:val="000000"/>
              </w:rPr>
            </w:pPr>
          </w:p>
        </w:tc>
        <w:tc>
          <w:tcPr>
            <w:tcW w:w="660" w:type="dxa"/>
            <w:vMerge w:val="continue"/>
            <w:shd w:val="clear" w:color="auto" w:fill="auto"/>
            <w:vAlign w:val="center"/>
          </w:tcPr>
          <w:p w14:paraId="06CA9292">
            <w:pPr>
              <w:snapToGrid w:val="0"/>
              <w:jc w:val="center"/>
              <w:rPr>
                <w:color w:val="000000"/>
              </w:rPr>
            </w:pPr>
          </w:p>
        </w:tc>
        <w:tc>
          <w:tcPr>
            <w:tcW w:w="660" w:type="dxa"/>
            <w:vMerge w:val="continue"/>
            <w:shd w:val="clear" w:color="auto" w:fill="auto"/>
            <w:vAlign w:val="center"/>
          </w:tcPr>
          <w:p w14:paraId="71AFA365">
            <w:pPr>
              <w:snapToGrid w:val="0"/>
              <w:jc w:val="center"/>
              <w:rPr>
                <w:color w:val="000000"/>
              </w:rPr>
            </w:pPr>
          </w:p>
        </w:tc>
        <w:tc>
          <w:tcPr>
            <w:tcW w:w="900" w:type="dxa"/>
            <w:vMerge w:val="continue"/>
            <w:shd w:val="clear" w:color="auto" w:fill="auto"/>
            <w:vAlign w:val="center"/>
          </w:tcPr>
          <w:p w14:paraId="4A6B1031">
            <w:pPr>
              <w:snapToGrid w:val="0"/>
              <w:jc w:val="center"/>
              <w:rPr>
                <w:color w:val="000000"/>
              </w:rPr>
            </w:pPr>
          </w:p>
        </w:tc>
        <w:tc>
          <w:tcPr>
            <w:tcW w:w="795" w:type="dxa"/>
            <w:vMerge w:val="continue"/>
            <w:shd w:val="clear" w:color="auto" w:fill="auto"/>
            <w:vAlign w:val="center"/>
          </w:tcPr>
          <w:p w14:paraId="3306C812">
            <w:pPr>
              <w:snapToGrid w:val="0"/>
              <w:jc w:val="center"/>
              <w:rPr>
                <w:color w:val="000000"/>
              </w:rPr>
            </w:pPr>
          </w:p>
        </w:tc>
        <w:tc>
          <w:tcPr>
            <w:tcW w:w="960" w:type="dxa"/>
            <w:shd w:val="clear" w:color="auto" w:fill="auto"/>
            <w:vAlign w:val="center"/>
          </w:tcPr>
          <w:p w14:paraId="2EFFA1A8">
            <w:pPr>
              <w:snapToGrid w:val="0"/>
              <w:jc w:val="center"/>
              <w:rPr>
                <w:color w:val="000000"/>
              </w:rPr>
            </w:pPr>
            <w:r>
              <w:rPr>
                <w:rFonts w:hint="eastAsia"/>
                <w:color w:val="000000"/>
              </w:rPr>
              <w:t>OCr18 Ni9(GB)</w:t>
            </w:r>
          </w:p>
        </w:tc>
        <w:tc>
          <w:tcPr>
            <w:tcW w:w="750" w:type="dxa"/>
            <w:shd w:val="clear" w:color="auto" w:fill="auto"/>
            <w:vAlign w:val="center"/>
          </w:tcPr>
          <w:p w14:paraId="6C0D47DB">
            <w:pPr>
              <w:snapToGrid w:val="0"/>
              <w:jc w:val="center"/>
              <w:rPr>
                <w:color w:val="000000"/>
              </w:rPr>
            </w:pPr>
            <w:r>
              <w:rPr>
                <w:rFonts w:hint="eastAsia"/>
                <w:color w:val="000000"/>
              </w:rPr>
              <w:t>Mc3Ti(GB)</w:t>
            </w:r>
          </w:p>
        </w:tc>
        <w:tc>
          <w:tcPr>
            <w:tcW w:w="855" w:type="dxa"/>
            <w:shd w:val="clear" w:color="auto" w:fill="auto"/>
            <w:vAlign w:val="center"/>
          </w:tcPr>
          <w:p w14:paraId="44DB3FC6">
            <w:pPr>
              <w:snapToGrid w:val="0"/>
              <w:jc w:val="center"/>
              <w:rPr>
                <w:color w:val="000000"/>
              </w:rPr>
            </w:pPr>
            <w:r>
              <w:rPr>
                <w:rFonts w:hint="eastAsia"/>
                <w:color w:val="000000"/>
              </w:rPr>
              <w:t>9Cr</w:t>
            </w:r>
          </w:p>
          <w:p w14:paraId="27468D99">
            <w:pPr>
              <w:snapToGrid w:val="0"/>
              <w:rPr>
                <w:color w:val="000000"/>
              </w:rPr>
            </w:pPr>
            <w:r>
              <w:rPr>
                <w:rFonts w:hint="eastAsia"/>
                <w:color w:val="000000"/>
              </w:rPr>
              <w:t>18M0V(GB)</w:t>
            </w:r>
          </w:p>
        </w:tc>
      </w:tr>
      <w:tr w14:paraId="774A5D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trPr>
        <w:tc>
          <w:tcPr>
            <w:tcW w:w="2040" w:type="dxa"/>
            <w:shd w:val="clear" w:color="auto" w:fill="auto"/>
          </w:tcPr>
          <w:p w14:paraId="75BC5103">
            <w:pPr>
              <w:snapToGrid w:val="0"/>
              <w:jc w:val="left"/>
              <w:rPr>
                <w:color w:val="000000"/>
              </w:rPr>
            </w:pPr>
            <w:r>
              <w:rPr>
                <w:rFonts w:hint="eastAsia"/>
                <w:color w:val="000000"/>
              </w:rPr>
              <w:t>酸（非氧化）如盐酸、硼酸</w:t>
            </w:r>
          </w:p>
        </w:tc>
        <w:tc>
          <w:tcPr>
            <w:tcW w:w="1733" w:type="dxa"/>
            <w:shd w:val="clear" w:color="auto" w:fill="auto"/>
          </w:tcPr>
          <w:p w14:paraId="658FB425">
            <w:pPr>
              <w:snapToGrid w:val="0"/>
              <w:spacing w:line="420" w:lineRule="exact"/>
              <w:jc w:val="left"/>
              <w:rPr>
                <w:color w:val="000000"/>
                <w:sz w:val="24"/>
                <w:szCs w:val="24"/>
              </w:rPr>
            </w:pPr>
            <w:r>
              <w:rPr>
                <w:rFonts w:hint="eastAsia" w:ascii="Arial" w:hAnsi="Arial" w:cs="Arial"/>
                <w:color w:val="000000"/>
                <w:sz w:val="18"/>
                <w:szCs w:val="18"/>
              </w:rPr>
              <w:t>HW34</w:t>
            </w:r>
          </w:p>
        </w:tc>
        <w:tc>
          <w:tcPr>
            <w:tcW w:w="652" w:type="dxa"/>
            <w:shd w:val="clear" w:color="auto" w:fill="auto"/>
            <w:vAlign w:val="center"/>
          </w:tcPr>
          <w:p w14:paraId="7C061596">
            <w:pPr>
              <w:snapToGrid w:val="0"/>
              <w:spacing w:line="420" w:lineRule="exact"/>
              <w:jc w:val="center"/>
              <w:rPr>
                <w:color w:val="000000"/>
                <w:sz w:val="24"/>
                <w:szCs w:val="24"/>
              </w:rPr>
            </w:pPr>
            <w:r>
              <w:rPr>
                <w:rFonts w:hint="eastAsia"/>
                <w:color w:val="000000"/>
                <w:sz w:val="24"/>
                <w:szCs w:val="24"/>
              </w:rPr>
              <w:t>R</w:t>
            </w:r>
          </w:p>
        </w:tc>
        <w:tc>
          <w:tcPr>
            <w:tcW w:w="660" w:type="dxa"/>
            <w:shd w:val="clear" w:color="auto" w:fill="auto"/>
            <w:vAlign w:val="center"/>
          </w:tcPr>
          <w:p w14:paraId="15820565">
            <w:pPr>
              <w:snapToGrid w:val="0"/>
              <w:spacing w:line="420" w:lineRule="exact"/>
              <w:jc w:val="center"/>
              <w:rPr>
                <w:color w:val="000000"/>
                <w:sz w:val="24"/>
                <w:szCs w:val="24"/>
              </w:rPr>
            </w:pPr>
            <w:r>
              <w:rPr>
                <w:rFonts w:hint="eastAsia"/>
                <w:color w:val="000000"/>
                <w:sz w:val="24"/>
                <w:szCs w:val="24"/>
              </w:rPr>
              <w:t>R</w:t>
            </w:r>
          </w:p>
        </w:tc>
        <w:tc>
          <w:tcPr>
            <w:tcW w:w="660" w:type="dxa"/>
            <w:shd w:val="clear" w:color="auto" w:fill="auto"/>
            <w:vAlign w:val="center"/>
          </w:tcPr>
          <w:p w14:paraId="79EF0C36">
            <w:pPr>
              <w:snapToGrid w:val="0"/>
              <w:spacing w:line="420" w:lineRule="exact"/>
              <w:jc w:val="center"/>
              <w:rPr>
                <w:color w:val="000000"/>
                <w:sz w:val="24"/>
                <w:szCs w:val="24"/>
              </w:rPr>
            </w:pPr>
            <w:r>
              <w:rPr>
                <w:rFonts w:hint="eastAsia"/>
                <w:b/>
                <w:bCs/>
                <w:color w:val="000000"/>
                <w:sz w:val="24"/>
                <w:szCs w:val="24"/>
              </w:rPr>
              <w:t>A</w:t>
            </w:r>
          </w:p>
        </w:tc>
        <w:tc>
          <w:tcPr>
            <w:tcW w:w="900" w:type="dxa"/>
            <w:shd w:val="clear" w:color="auto" w:fill="auto"/>
            <w:vAlign w:val="center"/>
          </w:tcPr>
          <w:p w14:paraId="4992EC8D">
            <w:pPr>
              <w:snapToGrid w:val="0"/>
              <w:spacing w:line="420" w:lineRule="exact"/>
              <w:ind w:right="-156"/>
              <w:jc w:val="center"/>
              <w:rPr>
                <w:color w:val="000000"/>
                <w:sz w:val="24"/>
                <w:szCs w:val="24"/>
              </w:rPr>
            </w:pPr>
            <w:r>
              <w:rPr>
                <w:rFonts w:hint="eastAsia"/>
                <w:color w:val="000000"/>
                <w:sz w:val="24"/>
                <w:szCs w:val="24"/>
              </w:rPr>
              <w:t>R</w:t>
            </w:r>
          </w:p>
        </w:tc>
        <w:tc>
          <w:tcPr>
            <w:tcW w:w="795" w:type="dxa"/>
            <w:shd w:val="clear" w:color="auto" w:fill="auto"/>
            <w:vAlign w:val="center"/>
          </w:tcPr>
          <w:p w14:paraId="5B9F11DC">
            <w:pPr>
              <w:snapToGrid w:val="0"/>
              <w:spacing w:line="420" w:lineRule="exact"/>
              <w:jc w:val="center"/>
              <w:rPr>
                <w:color w:val="000000"/>
                <w:sz w:val="24"/>
                <w:szCs w:val="24"/>
              </w:rPr>
            </w:pPr>
            <w:r>
              <w:rPr>
                <w:rFonts w:hint="eastAsia"/>
                <w:color w:val="000000"/>
                <w:sz w:val="24"/>
                <w:szCs w:val="24"/>
              </w:rPr>
              <w:t xml:space="preserve">N </w:t>
            </w:r>
          </w:p>
        </w:tc>
        <w:tc>
          <w:tcPr>
            <w:tcW w:w="960" w:type="dxa"/>
            <w:shd w:val="clear" w:color="auto" w:fill="auto"/>
            <w:vAlign w:val="center"/>
          </w:tcPr>
          <w:p w14:paraId="4D9FECAF">
            <w:pPr>
              <w:snapToGrid w:val="0"/>
              <w:spacing w:line="420" w:lineRule="exact"/>
              <w:jc w:val="center"/>
              <w:rPr>
                <w:color w:val="000000"/>
                <w:sz w:val="24"/>
                <w:szCs w:val="24"/>
              </w:rPr>
            </w:pPr>
            <w:r>
              <w:rPr>
                <w:rFonts w:hint="eastAsia"/>
                <w:color w:val="000000"/>
                <w:sz w:val="24"/>
                <w:szCs w:val="24"/>
              </w:rPr>
              <w:t>O</w:t>
            </w:r>
          </w:p>
        </w:tc>
        <w:tc>
          <w:tcPr>
            <w:tcW w:w="750" w:type="dxa"/>
            <w:shd w:val="clear" w:color="auto" w:fill="auto"/>
            <w:vAlign w:val="center"/>
          </w:tcPr>
          <w:p w14:paraId="6EA891FD">
            <w:pPr>
              <w:snapToGrid w:val="0"/>
              <w:spacing w:line="420" w:lineRule="exact"/>
              <w:jc w:val="center"/>
              <w:rPr>
                <w:color w:val="000000"/>
                <w:sz w:val="24"/>
                <w:szCs w:val="24"/>
              </w:rPr>
            </w:pPr>
            <w:r>
              <w:rPr>
                <w:rFonts w:hint="eastAsia"/>
                <w:color w:val="000000"/>
                <w:sz w:val="24"/>
                <w:szCs w:val="24"/>
              </w:rPr>
              <w:t>O</w:t>
            </w:r>
          </w:p>
        </w:tc>
        <w:tc>
          <w:tcPr>
            <w:tcW w:w="855" w:type="dxa"/>
            <w:shd w:val="clear" w:color="auto" w:fill="auto"/>
            <w:vAlign w:val="center"/>
          </w:tcPr>
          <w:p w14:paraId="11B35ED8">
            <w:pPr>
              <w:snapToGrid w:val="0"/>
              <w:spacing w:line="420" w:lineRule="exact"/>
              <w:jc w:val="center"/>
              <w:rPr>
                <w:color w:val="000000"/>
                <w:sz w:val="24"/>
                <w:szCs w:val="24"/>
              </w:rPr>
            </w:pPr>
            <w:r>
              <w:rPr>
                <w:rFonts w:hint="eastAsia"/>
                <w:color w:val="000000"/>
                <w:sz w:val="24"/>
                <w:szCs w:val="24"/>
              </w:rPr>
              <w:t>O</w:t>
            </w:r>
          </w:p>
        </w:tc>
      </w:tr>
      <w:tr w14:paraId="04B683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40" w:type="dxa"/>
            <w:shd w:val="clear" w:color="auto" w:fill="auto"/>
          </w:tcPr>
          <w:p w14:paraId="52E4FEE1">
            <w:pPr>
              <w:snapToGrid w:val="0"/>
              <w:ind w:right="-226"/>
              <w:jc w:val="left"/>
              <w:rPr>
                <w:color w:val="000000"/>
              </w:rPr>
            </w:pPr>
            <w:r>
              <w:rPr>
                <w:rFonts w:hint="eastAsia"/>
                <w:color w:val="000000"/>
              </w:rPr>
              <w:t>酸（氧化）如硝酸</w:t>
            </w:r>
          </w:p>
        </w:tc>
        <w:tc>
          <w:tcPr>
            <w:tcW w:w="1733" w:type="dxa"/>
            <w:shd w:val="clear" w:color="auto" w:fill="auto"/>
          </w:tcPr>
          <w:p w14:paraId="6ECF8EF1">
            <w:pPr>
              <w:snapToGrid w:val="0"/>
              <w:spacing w:line="420" w:lineRule="exact"/>
              <w:jc w:val="left"/>
              <w:rPr>
                <w:color w:val="000000"/>
                <w:sz w:val="24"/>
                <w:szCs w:val="24"/>
              </w:rPr>
            </w:pPr>
            <w:r>
              <w:rPr>
                <w:rFonts w:hint="eastAsia" w:ascii="Arial" w:hAnsi="Arial" w:cs="Arial"/>
                <w:color w:val="000000"/>
                <w:sz w:val="18"/>
                <w:szCs w:val="18"/>
              </w:rPr>
              <w:t>HW34</w:t>
            </w:r>
          </w:p>
        </w:tc>
        <w:tc>
          <w:tcPr>
            <w:tcW w:w="652" w:type="dxa"/>
            <w:shd w:val="clear" w:color="auto" w:fill="auto"/>
            <w:vAlign w:val="center"/>
          </w:tcPr>
          <w:p w14:paraId="635CC786">
            <w:pPr>
              <w:snapToGrid w:val="0"/>
              <w:spacing w:line="420" w:lineRule="exact"/>
              <w:jc w:val="center"/>
              <w:rPr>
                <w:color w:val="000000"/>
                <w:sz w:val="24"/>
                <w:szCs w:val="24"/>
              </w:rPr>
            </w:pPr>
            <w:r>
              <w:rPr>
                <w:rFonts w:hint="eastAsia"/>
                <w:color w:val="000000"/>
                <w:sz w:val="24"/>
                <w:szCs w:val="24"/>
              </w:rPr>
              <w:t>R</w:t>
            </w:r>
          </w:p>
        </w:tc>
        <w:tc>
          <w:tcPr>
            <w:tcW w:w="660" w:type="dxa"/>
            <w:shd w:val="clear" w:color="auto" w:fill="auto"/>
            <w:vAlign w:val="center"/>
          </w:tcPr>
          <w:p w14:paraId="120473CE">
            <w:pPr>
              <w:snapToGrid w:val="0"/>
              <w:spacing w:line="420" w:lineRule="exact"/>
              <w:jc w:val="center"/>
              <w:rPr>
                <w:color w:val="000000"/>
                <w:sz w:val="24"/>
                <w:szCs w:val="24"/>
              </w:rPr>
            </w:pPr>
            <w:r>
              <w:rPr>
                <w:rFonts w:hint="eastAsia"/>
                <w:color w:val="000000"/>
                <w:sz w:val="24"/>
                <w:szCs w:val="24"/>
              </w:rPr>
              <w:t xml:space="preserve">N </w:t>
            </w:r>
          </w:p>
        </w:tc>
        <w:tc>
          <w:tcPr>
            <w:tcW w:w="660" w:type="dxa"/>
            <w:shd w:val="clear" w:color="auto" w:fill="auto"/>
            <w:vAlign w:val="center"/>
          </w:tcPr>
          <w:p w14:paraId="3B2829A1">
            <w:pPr>
              <w:snapToGrid w:val="0"/>
              <w:spacing w:line="420" w:lineRule="exact"/>
              <w:jc w:val="center"/>
              <w:rPr>
                <w:color w:val="000000"/>
                <w:sz w:val="24"/>
                <w:szCs w:val="24"/>
              </w:rPr>
            </w:pPr>
            <w:r>
              <w:rPr>
                <w:rFonts w:hint="eastAsia"/>
                <w:color w:val="000000"/>
                <w:sz w:val="24"/>
                <w:szCs w:val="24"/>
              </w:rPr>
              <w:t xml:space="preserve">N </w:t>
            </w:r>
          </w:p>
        </w:tc>
        <w:tc>
          <w:tcPr>
            <w:tcW w:w="900" w:type="dxa"/>
            <w:shd w:val="clear" w:color="auto" w:fill="auto"/>
            <w:vAlign w:val="center"/>
          </w:tcPr>
          <w:p w14:paraId="09276AAE">
            <w:pPr>
              <w:snapToGrid w:val="0"/>
              <w:spacing w:line="420" w:lineRule="exact"/>
              <w:jc w:val="center"/>
              <w:rPr>
                <w:color w:val="000000"/>
                <w:sz w:val="24"/>
                <w:szCs w:val="24"/>
              </w:rPr>
            </w:pPr>
            <w:r>
              <w:rPr>
                <w:rFonts w:hint="eastAsia"/>
                <w:color w:val="000000"/>
                <w:sz w:val="24"/>
                <w:szCs w:val="24"/>
              </w:rPr>
              <w:t>R</w:t>
            </w:r>
          </w:p>
        </w:tc>
        <w:tc>
          <w:tcPr>
            <w:tcW w:w="795" w:type="dxa"/>
            <w:shd w:val="clear" w:color="auto" w:fill="auto"/>
            <w:vAlign w:val="center"/>
          </w:tcPr>
          <w:p w14:paraId="370977AD">
            <w:pPr>
              <w:snapToGrid w:val="0"/>
              <w:spacing w:line="420" w:lineRule="exact"/>
              <w:jc w:val="center"/>
              <w:rPr>
                <w:color w:val="000000"/>
                <w:sz w:val="24"/>
                <w:szCs w:val="24"/>
              </w:rPr>
            </w:pPr>
            <w:r>
              <w:rPr>
                <w:rFonts w:hint="eastAsia"/>
                <w:color w:val="000000"/>
                <w:sz w:val="24"/>
                <w:szCs w:val="24"/>
              </w:rPr>
              <w:t xml:space="preserve">N </w:t>
            </w:r>
          </w:p>
        </w:tc>
        <w:tc>
          <w:tcPr>
            <w:tcW w:w="960" w:type="dxa"/>
            <w:shd w:val="clear" w:color="auto" w:fill="auto"/>
            <w:vAlign w:val="center"/>
          </w:tcPr>
          <w:p w14:paraId="04A8A940">
            <w:pPr>
              <w:snapToGrid w:val="0"/>
              <w:spacing w:line="420" w:lineRule="exact"/>
              <w:jc w:val="center"/>
              <w:rPr>
                <w:color w:val="000000"/>
                <w:sz w:val="24"/>
                <w:szCs w:val="24"/>
              </w:rPr>
            </w:pPr>
            <w:r>
              <w:rPr>
                <w:rFonts w:hint="eastAsia"/>
                <w:color w:val="000000"/>
                <w:sz w:val="24"/>
                <w:szCs w:val="24"/>
              </w:rPr>
              <w:t>R</w:t>
            </w:r>
          </w:p>
        </w:tc>
        <w:tc>
          <w:tcPr>
            <w:tcW w:w="750" w:type="dxa"/>
            <w:shd w:val="clear" w:color="auto" w:fill="auto"/>
            <w:vAlign w:val="center"/>
          </w:tcPr>
          <w:p w14:paraId="49077DB4">
            <w:pPr>
              <w:snapToGrid w:val="0"/>
              <w:spacing w:line="420" w:lineRule="exact"/>
              <w:jc w:val="center"/>
              <w:rPr>
                <w:color w:val="000000"/>
                <w:sz w:val="24"/>
                <w:szCs w:val="24"/>
              </w:rPr>
            </w:pPr>
            <w:r>
              <w:rPr>
                <w:rFonts w:hint="eastAsia"/>
                <w:color w:val="000000"/>
                <w:sz w:val="24"/>
                <w:szCs w:val="24"/>
              </w:rPr>
              <w:t>R</w:t>
            </w:r>
          </w:p>
        </w:tc>
        <w:tc>
          <w:tcPr>
            <w:tcW w:w="855" w:type="dxa"/>
            <w:shd w:val="clear" w:color="auto" w:fill="auto"/>
            <w:vAlign w:val="center"/>
          </w:tcPr>
          <w:p w14:paraId="6DFB4877">
            <w:pPr>
              <w:snapToGrid w:val="0"/>
              <w:spacing w:line="420" w:lineRule="exact"/>
              <w:jc w:val="center"/>
              <w:rPr>
                <w:color w:val="000000"/>
                <w:sz w:val="24"/>
                <w:szCs w:val="24"/>
              </w:rPr>
            </w:pPr>
            <w:r>
              <w:rPr>
                <w:rFonts w:hint="eastAsia"/>
                <w:color w:val="000000"/>
                <w:sz w:val="24"/>
                <w:szCs w:val="24"/>
              </w:rPr>
              <w:t>O</w:t>
            </w:r>
          </w:p>
        </w:tc>
      </w:tr>
      <w:tr w14:paraId="2F0AE5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40" w:type="dxa"/>
            <w:shd w:val="clear" w:color="auto" w:fill="auto"/>
          </w:tcPr>
          <w:p w14:paraId="282CBAC5">
            <w:pPr>
              <w:snapToGrid w:val="0"/>
              <w:jc w:val="left"/>
              <w:rPr>
                <w:color w:val="000000"/>
              </w:rPr>
            </w:pPr>
            <w:r>
              <w:rPr>
                <w:rFonts w:hint="eastAsia"/>
                <w:color w:val="000000"/>
              </w:rPr>
              <w:t>碱</w:t>
            </w:r>
          </w:p>
        </w:tc>
        <w:tc>
          <w:tcPr>
            <w:tcW w:w="1733" w:type="dxa"/>
            <w:shd w:val="clear" w:color="auto" w:fill="auto"/>
          </w:tcPr>
          <w:p w14:paraId="112616C0">
            <w:pPr>
              <w:snapToGrid w:val="0"/>
              <w:spacing w:line="420" w:lineRule="exact"/>
              <w:jc w:val="left"/>
              <w:rPr>
                <w:color w:val="000000"/>
                <w:sz w:val="24"/>
                <w:szCs w:val="24"/>
              </w:rPr>
            </w:pPr>
            <w:r>
              <w:rPr>
                <w:rFonts w:hint="eastAsia" w:ascii="Arial" w:hAnsi="Arial" w:cs="Arial"/>
                <w:color w:val="000000"/>
                <w:sz w:val="18"/>
                <w:szCs w:val="18"/>
              </w:rPr>
              <w:t>HW35</w:t>
            </w:r>
          </w:p>
        </w:tc>
        <w:tc>
          <w:tcPr>
            <w:tcW w:w="652" w:type="dxa"/>
            <w:shd w:val="clear" w:color="auto" w:fill="auto"/>
            <w:vAlign w:val="center"/>
          </w:tcPr>
          <w:p w14:paraId="2DE97CE6">
            <w:pPr>
              <w:snapToGrid w:val="0"/>
              <w:spacing w:line="420" w:lineRule="exact"/>
              <w:jc w:val="center"/>
              <w:rPr>
                <w:color w:val="000000"/>
                <w:sz w:val="24"/>
                <w:szCs w:val="24"/>
              </w:rPr>
            </w:pPr>
            <w:r>
              <w:rPr>
                <w:rFonts w:hint="eastAsia"/>
                <w:color w:val="000000"/>
                <w:sz w:val="24"/>
                <w:szCs w:val="24"/>
              </w:rPr>
              <w:t>R</w:t>
            </w:r>
          </w:p>
        </w:tc>
        <w:tc>
          <w:tcPr>
            <w:tcW w:w="660" w:type="dxa"/>
            <w:shd w:val="clear" w:color="auto" w:fill="auto"/>
            <w:vAlign w:val="center"/>
          </w:tcPr>
          <w:p w14:paraId="1195A98F">
            <w:pPr>
              <w:snapToGrid w:val="0"/>
              <w:spacing w:line="420" w:lineRule="exact"/>
              <w:jc w:val="center"/>
              <w:rPr>
                <w:color w:val="000000"/>
                <w:sz w:val="24"/>
                <w:szCs w:val="24"/>
              </w:rPr>
            </w:pPr>
            <w:r>
              <w:rPr>
                <w:rFonts w:hint="eastAsia"/>
                <w:color w:val="000000"/>
                <w:sz w:val="24"/>
                <w:szCs w:val="24"/>
              </w:rPr>
              <w:t>R</w:t>
            </w:r>
          </w:p>
        </w:tc>
        <w:tc>
          <w:tcPr>
            <w:tcW w:w="660" w:type="dxa"/>
            <w:shd w:val="clear" w:color="auto" w:fill="auto"/>
            <w:vAlign w:val="center"/>
          </w:tcPr>
          <w:p w14:paraId="41319792">
            <w:pPr>
              <w:snapToGrid w:val="0"/>
              <w:spacing w:line="420" w:lineRule="exact"/>
              <w:jc w:val="center"/>
              <w:rPr>
                <w:color w:val="000000"/>
                <w:sz w:val="24"/>
                <w:szCs w:val="24"/>
              </w:rPr>
            </w:pPr>
            <w:r>
              <w:rPr>
                <w:rFonts w:hint="eastAsia"/>
                <w:b/>
                <w:bCs/>
                <w:color w:val="000000"/>
                <w:sz w:val="24"/>
                <w:szCs w:val="24"/>
              </w:rPr>
              <w:t>A</w:t>
            </w:r>
          </w:p>
        </w:tc>
        <w:tc>
          <w:tcPr>
            <w:tcW w:w="900" w:type="dxa"/>
            <w:shd w:val="clear" w:color="auto" w:fill="auto"/>
            <w:vAlign w:val="center"/>
          </w:tcPr>
          <w:p w14:paraId="0AE7B2C6">
            <w:pPr>
              <w:snapToGrid w:val="0"/>
              <w:spacing w:line="420" w:lineRule="exact"/>
              <w:jc w:val="center"/>
              <w:rPr>
                <w:color w:val="000000"/>
                <w:sz w:val="24"/>
                <w:szCs w:val="24"/>
              </w:rPr>
            </w:pPr>
            <w:r>
              <w:rPr>
                <w:rFonts w:hint="eastAsia"/>
                <w:color w:val="000000"/>
                <w:sz w:val="24"/>
                <w:szCs w:val="24"/>
              </w:rPr>
              <w:t>R</w:t>
            </w:r>
          </w:p>
        </w:tc>
        <w:tc>
          <w:tcPr>
            <w:tcW w:w="795" w:type="dxa"/>
            <w:shd w:val="clear" w:color="auto" w:fill="auto"/>
            <w:vAlign w:val="center"/>
          </w:tcPr>
          <w:p w14:paraId="7DC2913A">
            <w:pPr>
              <w:snapToGrid w:val="0"/>
              <w:spacing w:line="420" w:lineRule="exact"/>
              <w:jc w:val="center"/>
              <w:rPr>
                <w:color w:val="000000"/>
                <w:sz w:val="24"/>
                <w:szCs w:val="24"/>
              </w:rPr>
            </w:pPr>
            <w:r>
              <w:rPr>
                <w:rFonts w:hint="eastAsia"/>
                <w:color w:val="000000"/>
                <w:sz w:val="24"/>
                <w:szCs w:val="24"/>
              </w:rPr>
              <w:t xml:space="preserve">N </w:t>
            </w:r>
          </w:p>
        </w:tc>
        <w:tc>
          <w:tcPr>
            <w:tcW w:w="960" w:type="dxa"/>
            <w:shd w:val="clear" w:color="auto" w:fill="auto"/>
            <w:vAlign w:val="center"/>
          </w:tcPr>
          <w:p w14:paraId="2E9ECFE1">
            <w:pPr>
              <w:snapToGrid w:val="0"/>
              <w:spacing w:line="420" w:lineRule="exact"/>
              <w:jc w:val="center"/>
              <w:rPr>
                <w:color w:val="000000"/>
                <w:sz w:val="24"/>
                <w:szCs w:val="24"/>
              </w:rPr>
            </w:pPr>
            <w:r>
              <w:rPr>
                <w:rFonts w:hint="eastAsia"/>
                <w:color w:val="000000"/>
                <w:sz w:val="24"/>
                <w:szCs w:val="24"/>
              </w:rPr>
              <w:t>R</w:t>
            </w:r>
          </w:p>
        </w:tc>
        <w:tc>
          <w:tcPr>
            <w:tcW w:w="750" w:type="dxa"/>
            <w:shd w:val="clear" w:color="auto" w:fill="auto"/>
            <w:vAlign w:val="center"/>
          </w:tcPr>
          <w:p w14:paraId="26DD13F4">
            <w:pPr>
              <w:snapToGrid w:val="0"/>
              <w:spacing w:line="420" w:lineRule="exact"/>
              <w:jc w:val="center"/>
              <w:rPr>
                <w:color w:val="000000"/>
                <w:sz w:val="24"/>
                <w:szCs w:val="24"/>
              </w:rPr>
            </w:pPr>
            <w:r>
              <w:rPr>
                <w:rFonts w:hint="eastAsia"/>
                <w:color w:val="000000"/>
                <w:sz w:val="24"/>
                <w:szCs w:val="24"/>
              </w:rPr>
              <w:t>O</w:t>
            </w:r>
          </w:p>
        </w:tc>
        <w:tc>
          <w:tcPr>
            <w:tcW w:w="855" w:type="dxa"/>
            <w:shd w:val="clear" w:color="auto" w:fill="auto"/>
            <w:vAlign w:val="center"/>
          </w:tcPr>
          <w:p w14:paraId="717E2111">
            <w:pPr>
              <w:snapToGrid w:val="0"/>
              <w:spacing w:line="420" w:lineRule="exact"/>
              <w:jc w:val="center"/>
              <w:rPr>
                <w:color w:val="000000"/>
                <w:sz w:val="24"/>
                <w:szCs w:val="24"/>
              </w:rPr>
            </w:pPr>
            <w:r>
              <w:rPr>
                <w:rFonts w:hint="eastAsia"/>
                <w:color w:val="000000"/>
                <w:sz w:val="24"/>
                <w:szCs w:val="24"/>
              </w:rPr>
              <w:t>R</w:t>
            </w:r>
          </w:p>
        </w:tc>
      </w:tr>
      <w:tr w14:paraId="39FF6A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40" w:type="dxa"/>
            <w:shd w:val="clear" w:color="auto" w:fill="auto"/>
          </w:tcPr>
          <w:p w14:paraId="67169A02">
            <w:pPr>
              <w:snapToGrid w:val="0"/>
              <w:jc w:val="left"/>
              <w:rPr>
                <w:color w:val="000000"/>
              </w:rPr>
            </w:pPr>
            <w:r>
              <w:rPr>
                <w:rFonts w:hint="eastAsia"/>
                <w:color w:val="000000"/>
              </w:rPr>
              <w:t>铬或非铬氧化剂</w:t>
            </w:r>
          </w:p>
        </w:tc>
        <w:tc>
          <w:tcPr>
            <w:tcW w:w="1733" w:type="dxa"/>
            <w:shd w:val="clear" w:color="auto" w:fill="auto"/>
          </w:tcPr>
          <w:p w14:paraId="1532E564">
            <w:pPr>
              <w:snapToGrid w:val="0"/>
              <w:spacing w:line="420" w:lineRule="exact"/>
              <w:ind w:right="-81"/>
              <w:jc w:val="left"/>
              <w:rPr>
                <w:color w:val="000000"/>
                <w:sz w:val="24"/>
                <w:szCs w:val="24"/>
              </w:rPr>
            </w:pPr>
            <w:r>
              <w:rPr>
                <w:rFonts w:hint="eastAsia" w:ascii="Arial" w:hAnsi="Arial" w:cs="Arial"/>
                <w:color w:val="000000"/>
                <w:sz w:val="18"/>
                <w:szCs w:val="18"/>
              </w:rPr>
              <w:t>HW17、HW21</w:t>
            </w:r>
          </w:p>
        </w:tc>
        <w:tc>
          <w:tcPr>
            <w:tcW w:w="652" w:type="dxa"/>
            <w:shd w:val="clear" w:color="auto" w:fill="auto"/>
            <w:vAlign w:val="center"/>
          </w:tcPr>
          <w:p w14:paraId="2F5F6CC3">
            <w:pPr>
              <w:snapToGrid w:val="0"/>
              <w:spacing w:line="420" w:lineRule="exact"/>
              <w:jc w:val="center"/>
              <w:rPr>
                <w:color w:val="000000"/>
                <w:sz w:val="24"/>
                <w:szCs w:val="24"/>
              </w:rPr>
            </w:pPr>
            <w:r>
              <w:rPr>
                <w:rFonts w:hint="eastAsia"/>
                <w:color w:val="000000"/>
                <w:sz w:val="24"/>
                <w:szCs w:val="24"/>
              </w:rPr>
              <w:t>R</w:t>
            </w:r>
          </w:p>
        </w:tc>
        <w:tc>
          <w:tcPr>
            <w:tcW w:w="660" w:type="dxa"/>
            <w:shd w:val="clear" w:color="auto" w:fill="auto"/>
            <w:vAlign w:val="center"/>
          </w:tcPr>
          <w:p w14:paraId="497BBA15">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c>
          <w:tcPr>
            <w:tcW w:w="660" w:type="dxa"/>
            <w:shd w:val="clear" w:color="auto" w:fill="auto"/>
            <w:vAlign w:val="center"/>
          </w:tcPr>
          <w:p w14:paraId="1602A2C1">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c>
          <w:tcPr>
            <w:tcW w:w="900" w:type="dxa"/>
            <w:shd w:val="clear" w:color="auto" w:fill="auto"/>
            <w:vAlign w:val="center"/>
          </w:tcPr>
          <w:p w14:paraId="00681F60">
            <w:pPr>
              <w:snapToGrid w:val="0"/>
              <w:spacing w:line="420" w:lineRule="exact"/>
              <w:jc w:val="center"/>
              <w:rPr>
                <w:color w:val="000000"/>
                <w:sz w:val="24"/>
                <w:szCs w:val="24"/>
              </w:rPr>
            </w:pPr>
            <w:r>
              <w:rPr>
                <w:rFonts w:hint="eastAsia"/>
                <w:color w:val="000000"/>
                <w:sz w:val="24"/>
                <w:szCs w:val="24"/>
              </w:rPr>
              <w:t>R</w:t>
            </w:r>
          </w:p>
        </w:tc>
        <w:tc>
          <w:tcPr>
            <w:tcW w:w="795" w:type="dxa"/>
            <w:shd w:val="clear" w:color="auto" w:fill="auto"/>
            <w:vAlign w:val="center"/>
          </w:tcPr>
          <w:p w14:paraId="13C891EE">
            <w:pPr>
              <w:snapToGrid w:val="0"/>
              <w:spacing w:line="420" w:lineRule="exact"/>
              <w:jc w:val="center"/>
              <w:rPr>
                <w:color w:val="000000"/>
                <w:sz w:val="24"/>
                <w:szCs w:val="24"/>
              </w:rPr>
            </w:pPr>
            <w:r>
              <w:rPr>
                <w:rFonts w:hint="eastAsia"/>
                <w:color w:val="000000"/>
                <w:sz w:val="24"/>
                <w:szCs w:val="24"/>
              </w:rPr>
              <w:t xml:space="preserve">N </w:t>
            </w:r>
          </w:p>
        </w:tc>
        <w:tc>
          <w:tcPr>
            <w:tcW w:w="960" w:type="dxa"/>
            <w:shd w:val="clear" w:color="auto" w:fill="auto"/>
            <w:vAlign w:val="center"/>
          </w:tcPr>
          <w:p w14:paraId="3CD00283">
            <w:pPr>
              <w:snapToGrid w:val="0"/>
              <w:spacing w:line="420" w:lineRule="exact"/>
              <w:jc w:val="center"/>
              <w:rPr>
                <w:color w:val="000000"/>
                <w:sz w:val="24"/>
                <w:szCs w:val="24"/>
              </w:rPr>
            </w:pPr>
            <w:r>
              <w:rPr>
                <w:rFonts w:hint="eastAsia"/>
                <w:b/>
                <w:bCs/>
                <w:color w:val="000000"/>
                <w:sz w:val="24"/>
                <w:szCs w:val="24"/>
              </w:rPr>
              <w:t>A</w:t>
            </w:r>
          </w:p>
        </w:tc>
        <w:tc>
          <w:tcPr>
            <w:tcW w:w="750" w:type="dxa"/>
            <w:shd w:val="clear" w:color="auto" w:fill="auto"/>
            <w:vAlign w:val="center"/>
          </w:tcPr>
          <w:p w14:paraId="0FEB7162">
            <w:pPr>
              <w:snapToGrid w:val="0"/>
              <w:spacing w:line="420" w:lineRule="exact"/>
              <w:jc w:val="center"/>
              <w:rPr>
                <w:color w:val="000000"/>
                <w:sz w:val="24"/>
                <w:szCs w:val="24"/>
              </w:rPr>
            </w:pPr>
            <w:r>
              <w:rPr>
                <w:rFonts w:hint="eastAsia"/>
                <w:b/>
                <w:bCs/>
                <w:color w:val="000000"/>
                <w:sz w:val="24"/>
                <w:szCs w:val="24"/>
              </w:rPr>
              <w:t>A</w:t>
            </w:r>
          </w:p>
        </w:tc>
        <w:tc>
          <w:tcPr>
            <w:tcW w:w="855" w:type="dxa"/>
            <w:shd w:val="clear" w:color="auto" w:fill="auto"/>
            <w:vAlign w:val="center"/>
          </w:tcPr>
          <w:p w14:paraId="2ABE5A8C">
            <w:pPr>
              <w:snapToGrid w:val="0"/>
              <w:spacing w:line="420" w:lineRule="exact"/>
              <w:jc w:val="center"/>
              <w:rPr>
                <w:color w:val="000000"/>
                <w:sz w:val="24"/>
                <w:szCs w:val="24"/>
              </w:rPr>
            </w:pPr>
            <w:r>
              <w:rPr>
                <w:rFonts w:hint="eastAsia"/>
                <w:color w:val="000000"/>
                <w:sz w:val="24"/>
                <w:szCs w:val="24"/>
              </w:rPr>
              <w:t>O</w:t>
            </w:r>
          </w:p>
        </w:tc>
      </w:tr>
      <w:tr w14:paraId="6541B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40" w:type="dxa"/>
            <w:shd w:val="clear" w:color="auto" w:fill="auto"/>
          </w:tcPr>
          <w:p w14:paraId="7DB5F69D">
            <w:pPr>
              <w:snapToGrid w:val="0"/>
              <w:jc w:val="left"/>
              <w:rPr>
                <w:color w:val="000000"/>
              </w:rPr>
            </w:pPr>
            <w:r>
              <w:rPr>
                <w:rFonts w:hint="eastAsia"/>
                <w:color w:val="000000"/>
              </w:rPr>
              <w:t>废氰化物</w:t>
            </w:r>
          </w:p>
        </w:tc>
        <w:tc>
          <w:tcPr>
            <w:tcW w:w="1733" w:type="dxa"/>
            <w:shd w:val="clear" w:color="auto" w:fill="auto"/>
          </w:tcPr>
          <w:p w14:paraId="2986BC14">
            <w:pPr>
              <w:snapToGrid w:val="0"/>
              <w:spacing w:line="420" w:lineRule="exact"/>
              <w:jc w:val="left"/>
              <w:rPr>
                <w:color w:val="000000"/>
                <w:sz w:val="24"/>
                <w:szCs w:val="24"/>
              </w:rPr>
            </w:pPr>
            <w:r>
              <w:rPr>
                <w:rFonts w:hint="eastAsia" w:ascii="Arial" w:hAnsi="Arial" w:cs="Arial"/>
                <w:color w:val="000000"/>
                <w:sz w:val="18"/>
                <w:szCs w:val="18"/>
              </w:rPr>
              <w:t>HW33</w:t>
            </w:r>
          </w:p>
        </w:tc>
        <w:tc>
          <w:tcPr>
            <w:tcW w:w="652" w:type="dxa"/>
            <w:shd w:val="clear" w:color="auto" w:fill="auto"/>
            <w:vAlign w:val="center"/>
          </w:tcPr>
          <w:p w14:paraId="1BF29C99">
            <w:pPr>
              <w:snapToGrid w:val="0"/>
              <w:spacing w:line="420" w:lineRule="exact"/>
              <w:jc w:val="center"/>
              <w:rPr>
                <w:color w:val="000000"/>
                <w:sz w:val="24"/>
                <w:szCs w:val="24"/>
              </w:rPr>
            </w:pPr>
            <w:r>
              <w:rPr>
                <w:rFonts w:hint="eastAsia"/>
                <w:color w:val="000000"/>
                <w:sz w:val="24"/>
                <w:szCs w:val="24"/>
              </w:rPr>
              <w:t>R</w:t>
            </w:r>
          </w:p>
        </w:tc>
        <w:tc>
          <w:tcPr>
            <w:tcW w:w="660" w:type="dxa"/>
            <w:shd w:val="clear" w:color="auto" w:fill="auto"/>
            <w:vAlign w:val="center"/>
          </w:tcPr>
          <w:p w14:paraId="43D5CEBD">
            <w:pPr>
              <w:snapToGrid w:val="0"/>
              <w:spacing w:line="420" w:lineRule="exact"/>
              <w:jc w:val="center"/>
              <w:rPr>
                <w:color w:val="000000"/>
                <w:sz w:val="24"/>
                <w:szCs w:val="24"/>
              </w:rPr>
            </w:pPr>
            <w:r>
              <w:rPr>
                <w:rFonts w:hint="eastAsia"/>
                <w:color w:val="000000"/>
                <w:sz w:val="24"/>
                <w:szCs w:val="24"/>
              </w:rPr>
              <w:t>R</w:t>
            </w:r>
          </w:p>
        </w:tc>
        <w:tc>
          <w:tcPr>
            <w:tcW w:w="660" w:type="dxa"/>
            <w:shd w:val="clear" w:color="auto" w:fill="auto"/>
            <w:vAlign w:val="center"/>
          </w:tcPr>
          <w:p w14:paraId="4697573C">
            <w:pPr>
              <w:snapToGrid w:val="0"/>
              <w:spacing w:line="420" w:lineRule="exact"/>
              <w:jc w:val="center"/>
              <w:rPr>
                <w:color w:val="000000"/>
                <w:sz w:val="24"/>
                <w:szCs w:val="24"/>
              </w:rPr>
            </w:pPr>
            <w:r>
              <w:rPr>
                <w:rFonts w:hint="eastAsia"/>
                <w:color w:val="000000"/>
                <w:sz w:val="24"/>
                <w:szCs w:val="24"/>
              </w:rPr>
              <w:t>R</w:t>
            </w:r>
          </w:p>
        </w:tc>
        <w:tc>
          <w:tcPr>
            <w:tcW w:w="900" w:type="dxa"/>
            <w:shd w:val="clear" w:color="auto" w:fill="auto"/>
            <w:vAlign w:val="center"/>
          </w:tcPr>
          <w:p w14:paraId="0781228D">
            <w:pPr>
              <w:snapToGrid w:val="0"/>
              <w:spacing w:line="420" w:lineRule="exact"/>
              <w:jc w:val="center"/>
              <w:rPr>
                <w:color w:val="000000"/>
                <w:sz w:val="24"/>
                <w:szCs w:val="24"/>
              </w:rPr>
            </w:pPr>
          </w:p>
        </w:tc>
        <w:tc>
          <w:tcPr>
            <w:tcW w:w="795" w:type="dxa"/>
            <w:shd w:val="clear" w:color="auto" w:fill="auto"/>
            <w:vAlign w:val="center"/>
          </w:tcPr>
          <w:p w14:paraId="4D10E365">
            <w:pPr>
              <w:snapToGrid w:val="0"/>
              <w:spacing w:line="420" w:lineRule="exact"/>
              <w:jc w:val="center"/>
              <w:rPr>
                <w:color w:val="000000"/>
                <w:sz w:val="24"/>
                <w:szCs w:val="24"/>
              </w:rPr>
            </w:pPr>
            <w:r>
              <w:rPr>
                <w:rFonts w:hint="eastAsia"/>
                <w:color w:val="000000"/>
                <w:sz w:val="24"/>
                <w:szCs w:val="24"/>
              </w:rPr>
              <w:t xml:space="preserve">N </w:t>
            </w:r>
          </w:p>
        </w:tc>
        <w:tc>
          <w:tcPr>
            <w:tcW w:w="960" w:type="dxa"/>
            <w:shd w:val="clear" w:color="auto" w:fill="auto"/>
            <w:vAlign w:val="center"/>
          </w:tcPr>
          <w:p w14:paraId="503BB988">
            <w:pPr>
              <w:snapToGrid w:val="0"/>
              <w:spacing w:line="420" w:lineRule="exact"/>
              <w:jc w:val="center"/>
              <w:rPr>
                <w:color w:val="000000"/>
                <w:sz w:val="24"/>
                <w:szCs w:val="24"/>
              </w:rPr>
            </w:pPr>
            <w:r>
              <w:rPr>
                <w:rFonts w:hint="eastAsia"/>
                <w:color w:val="000000"/>
                <w:sz w:val="24"/>
                <w:szCs w:val="24"/>
              </w:rPr>
              <w:t xml:space="preserve">N </w:t>
            </w:r>
          </w:p>
        </w:tc>
        <w:tc>
          <w:tcPr>
            <w:tcW w:w="750" w:type="dxa"/>
            <w:shd w:val="clear" w:color="auto" w:fill="auto"/>
            <w:vAlign w:val="center"/>
          </w:tcPr>
          <w:p w14:paraId="066DFECC">
            <w:pPr>
              <w:snapToGrid w:val="0"/>
              <w:spacing w:line="420" w:lineRule="exact"/>
              <w:jc w:val="center"/>
              <w:rPr>
                <w:color w:val="000000"/>
                <w:sz w:val="24"/>
                <w:szCs w:val="24"/>
              </w:rPr>
            </w:pPr>
            <w:r>
              <w:rPr>
                <w:rFonts w:hint="eastAsia"/>
                <w:color w:val="000000"/>
                <w:sz w:val="24"/>
                <w:szCs w:val="24"/>
              </w:rPr>
              <w:t xml:space="preserve">N </w:t>
            </w:r>
          </w:p>
        </w:tc>
        <w:tc>
          <w:tcPr>
            <w:tcW w:w="855" w:type="dxa"/>
            <w:shd w:val="clear" w:color="auto" w:fill="auto"/>
            <w:vAlign w:val="center"/>
          </w:tcPr>
          <w:p w14:paraId="01A61B3E">
            <w:pPr>
              <w:snapToGrid w:val="0"/>
              <w:spacing w:line="420" w:lineRule="exact"/>
              <w:jc w:val="center"/>
              <w:rPr>
                <w:color w:val="000000"/>
                <w:sz w:val="24"/>
                <w:szCs w:val="24"/>
              </w:rPr>
            </w:pPr>
            <w:r>
              <w:rPr>
                <w:rFonts w:hint="eastAsia"/>
                <w:color w:val="000000"/>
                <w:sz w:val="24"/>
                <w:szCs w:val="24"/>
              </w:rPr>
              <w:t xml:space="preserve">N </w:t>
            </w:r>
          </w:p>
        </w:tc>
      </w:tr>
      <w:tr w14:paraId="47EE5F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40" w:type="dxa"/>
            <w:shd w:val="clear" w:color="auto" w:fill="auto"/>
          </w:tcPr>
          <w:p w14:paraId="41BCC6E2">
            <w:pPr>
              <w:snapToGrid w:val="0"/>
              <w:ind w:right="-226"/>
              <w:jc w:val="left"/>
              <w:rPr>
                <w:color w:val="000000"/>
              </w:rPr>
            </w:pPr>
            <w:r>
              <w:rPr>
                <w:rFonts w:hint="eastAsia"/>
                <w:color w:val="000000"/>
              </w:rPr>
              <w:t>卤化或非卤化溶剂</w:t>
            </w:r>
          </w:p>
        </w:tc>
        <w:tc>
          <w:tcPr>
            <w:tcW w:w="1733" w:type="dxa"/>
            <w:shd w:val="clear" w:color="auto" w:fill="auto"/>
          </w:tcPr>
          <w:p w14:paraId="433AB0FD">
            <w:pPr>
              <w:snapToGrid w:val="0"/>
              <w:spacing w:line="420" w:lineRule="exact"/>
              <w:ind w:right="-81"/>
              <w:jc w:val="left"/>
              <w:rPr>
                <w:color w:val="000000"/>
                <w:sz w:val="24"/>
                <w:szCs w:val="24"/>
              </w:rPr>
            </w:pPr>
            <w:r>
              <w:rPr>
                <w:rFonts w:hint="eastAsia" w:ascii="Arial" w:hAnsi="Arial" w:cs="Arial"/>
                <w:color w:val="000000"/>
                <w:sz w:val="18"/>
                <w:szCs w:val="18"/>
              </w:rPr>
              <w:t>HW41、HW45</w:t>
            </w:r>
          </w:p>
        </w:tc>
        <w:tc>
          <w:tcPr>
            <w:tcW w:w="652" w:type="dxa"/>
            <w:shd w:val="clear" w:color="auto" w:fill="auto"/>
            <w:vAlign w:val="center"/>
          </w:tcPr>
          <w:p w14:paraId="18C19643">
            <w:pPr>
              <w:snapToGrid w:val="0"/>
              <w:spacing w:line="420" w:lineRule="exact"/>
              <w:jc w:val="center"/>
              <w:rPr>
                <w:color w:val="000000"/>
                <w:sz w:val="24"/>
                <w:szCs w:val="24"/>
              </w:rPr>
            </w:pPr>
            <w:r>
              <w:rPr>
                <w:rFonts w:hint="eastAsia"/>
                <w:color w:val="000000"/>
                <w:sz w:val="24"/>
                <w:szCs w:val="24"/>
              </w:rPr>
              <w:t>O</w:t>
            </w:r>
          </w:p>
        </w:tc>
        <w:tc>
          <w:tcPr>
            <w:tcW w:w="660" w:type="dxa"/>
            <w:shd w:val="clear" w:color="auto" w:fill="auto"/>
            <w:vAlign w:val="center"/>
          </w:tcPr>
          <w:p w14:paraId="75BF79EE">
            <w:pPr>
              <w:snapToGrid w:val="0"/>
              <w:spacing w:line="420" w:lineRule="exact"/>
              <w:jc w:val="center"/>
              <w:rPr>
                <w:color w:val="000000"/>
                <w:sz w:val="24"/>
                <w:szCs w:val="24"/>
              </w:rPr>
            </w:pPr>
            <w:r>
              <w:rPr>
                <w:rFonts w:hint="eastAsia"/>
                <w:color w:val="000000"/>
                <w:sz w:val="24"/>
                <w:szCs w:val="24"/>
              </w:rPr>
              <w:t xml:space="preserve">N </w:t>
            </w:r>
          </w:p>
        </w:tc>
        <w:tc>
          <w:tcPr>
            <w:tcW w:w="660" w:type="dxa"/>
            <w:shd w:val="clear" w:color="auto" w:fill="auto"/>
            <w:vAlign w:val="center"/>
          </w:tcPr>
          <w:p w14:paraId="1D664C80">
            <w:pPr>
              <w:snapToGrid w:val="0"/>
              <w:spacing w:line="420" w:lineRule="exact"/>
              <w:jc w:val="center"/>
              <w:rPr>
                <w:color w:val="000000"/>
                <w:sz w:val="24"/>
                <w:szCs w:val="24"/>
              </w:rPr>
            </w:pPr>
            <w:r>
              <w:rPr>
                <w:rFonts w:hint="eastAsia"/>
                <w:color w:val="000000"/>
                <w:sz w:val="24"/>
                <w:szCs w:val="24"/>
              </w:rPr>
              <w:t xml:space="preserve">N </w:t>
            </w:r>
          </w:p>
        </w:tc>
        <w:tc>
          <w:tcPr>
            <w:tcW w:w="900" w:type="dxa"/>
            <w:shd w:val="clear" w:color="auto" w:fill="auto"/>
            <w:vAlign w:val="center"/>
          </w:tcPr>
          <w:p w14:paraId="7CFAFB5A">
            <w:pPr>
              <w:snapToGrid w:val="0"/>
              <w:spacing w:line="420" w:lineRule="exact"/>
              <w:jc w:val="center"/>
              <w:rPr>
                <w:color w:val="000000"/>
                <w:sz w:val="24"/>
                <w:szCs w:val="24"/>
              </w:rPr>
            </w:pPr>
            <w:r>
              <w:rPr>
                <w:rFonts w:hint="eastAsia"/>
                <w:color w:val="000000"/>
                <w:sz w:val="24"/>
                <w:szCs w:val="24"/>
              </w:rPr>
              <w:t>O</w:t>
            </w:r>
          </w:p>
        </w:tc>
        <w:tc>
          <w:tcPr>
            <w:tcW w:w="795" w:type="dxa"/>
            <w:shd w:val="clear" w:color="auto" w:fill="auto"/>
            <w:vAlign w:val="center"/>
          </w:tcPr>
          <w:p w14:paraId="12DC5D07">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c>
          <w:tcPr>
            <w:tcW w:w="960" w:type="dxa"/>
            <w:shd w:val="clear" w:color="auto" w:fill="auto"/>
            <w:vAlign w:val="center"/>
          </w:tcPr>
          <w:p w14:paraId="0C063178">
            <w:pPr>
              <w:snapToGrid w:val="0"/>
              <w:spacing w:line="420" w:lineRule="exact"/>
              <w:jc w:val="center"/>
              <w:rPr>
                <w:color w:val="000000"/>
                <w:sz w:val="24"/>
                <w:szCs w:val="24"/>
              </w:rPr>
            </w:pPr>
            <w:r>
              <w:rPr>
                <w:rFonts w:hint="eastAsia"/>
                <w:b/>
                <w:bCs/>
                <w:color w:val="000000"/>
                <w:sz w:val="24"/>
                <w:szCs w:val="24"/>
              </w:rPr>
              <w:t>A</w:t>
            </w:r>
          </w:p>
        </w:tc>
        <w:tc>
          <w:tcPr>
            <w:tcW w:w="750" w:type="dxa"/>
            <w:shd w:val="clear" w:color="auto" w:fill="auto"/>
            <w:vAlign w:val="center"/>
          </w:tcPr>
          <w:p w14:paraId="326C611F">
            <w:pPr>
              <w:snapToGrid w:val="0"/>
              <w:spacing w:line="420" w:lineRule="exact"/>
              <w:jc w:val="center"/>
              <w:rPr>
                <w:color w:val="000000"/>
                <w:sz w:val="24"/>
                <w:szCs w:val="24"/>
              </w:rPr>
            </w:pPr>
            <w:r>
              <w:rPr>
                <w:rFonts w:hint="eastAsia"/>
                <w:b/>
                <w:bCs/>
                <w:color w:val="000000"/>
                <w:sz w:val="24"/>
                <w:szCs w:val="24"/>
              </w:rPr>
              <w:t>A</w:t>
            </w:r>
          </w:p>
        </w:tc>
        <w:tc>
          <w:tcPr>
            <w:tcW w:w="855" w:type="dxa"/>
            <w:shd w:val="clear" w:color="auto" w:fill="auto"/>
            <w:vAlign w:val="center"/>
          </w:tcPr>
          <w:p w14:paraId="66EDC3E7">
            <w:pPr>
              <w:snapToGrid w:val="0"/>
              <w:spacing w:line="420" w:lineRule="exact"/>
              <w:jc w:val="center"/>
              <w:rPr>
                <w:color w:val="000000"/>
                <w:sz w:val="24"/>
                <w:szCs w:val="24"/>
              </w:rPr>
            </w:pPr>
            <w:r>
              <w:rPr>
                <w:rFonts w:hint="eastAsia"/>
                <w:b/>
                <w:bCs/>
                <w:color w:val="000000"/>
                <w:sz w:val="24"/>
                <w:szCs w:val="24"/>
              </w:rPr>
              <w:t>A</w:t>
            </w:r>
          </w:p>
        </w:tc>
      </w:tr>
      <w:tr w14:paraId="149E5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40" w:type="dxa"/>
            <w:shd w:val="clear" w:color="auto" w:fill="auto"/>
          </w:tcPr>
          <w:p w14:paraId="0A0494ED">
            <w:pPr>
              <w:snapToGrid w:val="0"/>
              <w:jc w:val="left"/>
              <w:rPr>
                <w:color w:val="000000"/>
              </w:rPr>
            </w:pPr>
            <w:r>
              <w:rPr>
                <w:rFonts w:hint="eastAsia"/>
                <w:color w:val="000000"/>
              </w:rPr>
              <w:t>金属盐酸液</w:t>
            </w:r>
          </w:p>
        </w:tc>
        <w:tc>
          <w:tcPr>
            <w:tcW w:w="1733" w:type="dxa"/>
            <w:shd w:val="clear" w:color="auto" w:fill="auto"/>
          </w:tcPr>
          <w:p w14:paraId="436338F6">
            <w:pPr>
              <w:snapToGrid w:val="0"/>
              <w:spacing w:line="420" w:lineRule="exact"/>
              <w:ind w:right="-181"/>
              <w:jc w:val="left"/>
              <w:rPr>
                <w:color w:val="000000"/>
                <w:sz w:val="24"/>
                <w:szCs w:val="24"/>
              </w:rPr>
            </w:pPr>
            <w:r>
              <w:rPr>
                <w:rFonts w:hint="eastAsia" w:ascii="Arial" w:hAnsi="Arial" w:cs="Arial"/>
                <w:color w:val="000000"/>
                <w:sz w:val="18"/>
                <w:szCs w:val="18"/>
              </w:rPr>
              <w:t>HW22、HW34等</w:t>
            </w:r>
          </w:p>
        </w:tc>
        <w:tc>
          <w:tcPr>
            <w:tcW w:w="652" w:type="dxa"/>
            <w:shd w:val="clear" w:color="auto" w:fill="auto"/>
            <w:vAlign w:val="center"/>
          </w:tcPr>
          <w:p w14:paraId="2CE2A69B">
            <w:pPr>
              <w:snapToGrid w:val="0"/>
              <w:spacing w:line="420" w:lineRule="exact"/>
              <w:jc w:val="center"/>
              <w:rPr>
                <w:color w:val="000000"/>
                <w:sz w:val="24"/>
                <w:szCs w:val="24"/>
              </w:rPr>
            </w:pPr>
            <w:r>
              <w:rPr>
                <w:rFonts w:hint="eastAsia"/>
                <w:color w:val="000000"/>
                <w:sz w:val="24"/>
                <w:szCs w:val="24"/>
              </w:rPr>
              <w:t>R</w:t>
            </w:r>
          </w:p>
        </w:tc>
        <w:tc>
          <w:tcPr>
            <w:tcW w:w="660" w:type="dxa"/>
            <w:shd w:val="clear" w:color="auto" w:fill="auto"/>
            <w:vAlign w:val="center"/>
          </w:tcPr>
          <w:p w14:paraId="43F877DD">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c>
          <w:tcPr>
            <w:tcW w:w="660" w:type="dxa"/>
            <w:shd w:val="clear" w:color="auto" w:fill="auto"/>
            <w:vAlign w:val="center"/>
          </w:tcPr>
          <w:p w14:paraId="3C1A0F5D">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c>
          <w:tcPr>
            <w:tcW w:w="900" w:type="dxa"/>
            <w:shd w:val="clear" w:color="auto" w:fill="auto"/>
            <w:vAlign w:val="center"/>
          </w:tcPr>
          <w:p w14:paraId="3A5DE15B">
            <w:pPr>
              <w:snapToGrid w:val="0"/>
              <w:spacing w:line="420" w:lineRule="exact"/>
              <w:jc w:val="center"/>
              <w:rPr>
                <w:color w:val="000000"/>
                <w:sz w:val="24"/>
                <w:szCs w:val="24"/>
              </w:rPr>
            </w:pPr>
            <w:r>
              <w:rPr>
                <w:rFonts w:hint="eastAsia"/>
                <w:color w:val="000000"/>
                <w:sz w:val="24"/>
                <w:szCs w:val="24"/>
              </w:rPr>
              <w:t>R</w:t>
            </w:r>
          </w:p>
        </w:tc>
        <w:tc>
          <w:tcPr>
            <w:tcW w:w="795" w:type="dxa"/>
            <w:shd w:val="clear" w:color="auto" w:fill="auto"/>
            <w:vAlign w:val="center"/>
          </w:tcPr>
          <w:p w14:paraId="21C26680">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c>
          <w:tcPr>
            <w:tcW w:w="960" w:type="dxa"/>
            <w:shd w:val="clear" w:color="auto" w:fill="auto"/>
            <w:vAlign w:val="center"/>
          </w:tcPr>
          <w:p w14:paraId="6F502A78">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c>
          <w:tcPr>
            <w:tcW w:w="750" w:type="dxa"/>
            <w:shd w:val="clear" w:color="auto" w:fill="auto"/>
            <w:vAlign w:val="center"/>
          </w:tcPr>
          <w:p w14:paraId="594618F6">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c>
          <w:tcPr>
            <w:tcW w:w="855" w:type="dxa"/>
            <w:shd w:val="clear" w:color="auto" w:fill="auto"/>
            <w:vAlign w:val="center"/>
          </w:tcPr>
          <w:p w14:paraId="118611EC">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r>
      <w:tr w14:paraId="6E126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40" w:type="dxa"/>
            <w:shd w:val="clear" w:color="auto" w:fill="auto"/>
          </w:tcPr>
          <w:p w14:paraId="66586B1C">
            <w:pPr>
              <w:snapToGrid w:val="0"/>
              <w:jc w:val="left"/>
              <w:rPr>
                <w:color w:val="000000"/>
              </w:rPr>
            </w:pPr>
            <w:r>
              <w:rPr>
                <w:rFonts w:hint="eastAsia"/>
                <w:color w:val="000000"/>
              </w:rPr>
              <w:t>金属淤泥</w:t>
            </w:r>
          </w:p>
        </w:tc>
        <w:tc>
          <w:tcPr>
            <w:tcW w:w="1733" w:type="dxa"/>
            <w:shd w:val="clear" w:color="auto" w:fill="auto"/>
          </w:tcPr>
          <w:p w14:paraId="6A9912AD">
            <w:pPr>
              <w:snapToGrid w:val="0"/>
              <w:spacing w:line="420" w:lineRule="exact"/>
              <w:jc w:val="left"/>
              <w:rPr>
                <w:color w:val="000000"/>
                <w:sz w:val="24"/>
                <w:szCs w:val="24"/>
              </w:rPr>
            </w:pPr>
            <w:r>
              <w:rPr>
                <w:rFonts w:hint="eastAsia" w:ascii="Arial" w:hAnsi="Arial" w:cs="Arial"/>
                <w:color w:val="000000"/>
                <w:sz w:val="18"/>
                <w:szCs w:val="18"/>
              </w:rPr>
              <w:t>HW17等</w:t>
            </w:r>
          </w:p>
        </w:tc>
        <w:tc>
          <w:tcPr>
            <w:tcW w:w="652" w:type="dxa"/>
            <w:shd w:val="clear" w:color="auto" w:fill="auto"/>
            <w:vAlign w:val="center"/>
          </w:tcPr>
          <w:p w14:paraId="4FEA2FD5">
            <w:pPr>
              <w:snapToGrid w:val="0"/>
              <w:spacing w:line="420" w:lineRule="exact"/>
              <w:jc w:val="center"/>
              <w:rPr>
                <w:color w:val="000000"/>
                <w:sz w:val="24"/>
                <w:szCs w:val="24"/>
              </w:rPr>
            </w:pPr>
            <w:r>
              <w:rPr>
                <w:rFonts w:hint="eastAsia"/>
                <w:color w:val="000000"/>
                <w:sz w:val="24"/>
                <w:szCs w:val="24"/>
              </w:rPr>
              <w:t>R</w:t>
            </w:r>
          </w:p>
        </w:tc>
        <w:tc>
          <w:tcPr>
            <w:tcW w:w="660" w:type="dxa"/>
            <w:shd w:val="clear" w:color="auto" w:fill="auto"/>
            <w:vAlign w:val="center"/>
          </w:tcPr>
          <w:p w14:paraId="05BDFFF9">
            <w:pPr>
              <w:snapToGrid w:val="0"/>
              <w:spacing w:line="420" w:lineRule="exact"/>
              <w:jc w:val="center"/>
              <w:rPr>
                <w:color w:val="000000"/>
                <w:sz w:val="24"/>
                <w:szCs w:val="24"/>
              </w:rPr>
            </w:pPr>
            <w:r>
              <w:rPr>
                <w:rFonts w:hint="eastAsia"/>
                <w:color w:val="000000"/>
                <w:sz w:val="24"/>
                <w:szCs w:val="24"/>
              </w:rPr>
              <w:t>R</w:t>
            </w:r>
          </w:p>
        </w:tc>
        <w:tc>
          <w:tcPr>
            <w:tcW w:w="660" w:type="dxa"/>
            <w:shd w:val="clear" w:color="auto" w:fill="auto"/>
            <w:vAlign w:val="center"/>
          </w:tcPr>
          <w:p w14:paraId="3CB98012">
            <w:pPr>
              <w:snapToGrid w:val="0"/>
              <w:spacing w:line="420" w:lineRule="exact"/>
              <w:jc w:val="center"/>
              <w:rPr>
                <w:color w:val="000000"/>
                <w:sz w:val="24"/>
                <w:szCs w:val="24"/>
              </w:rPr>
            </w:pPr>
            <w:r>
              <w:rPr>
                <w:rFonts w:hint="eastAsia"/>
                <w:color w:val="000000"/>
                <w:sz w:val="24"/>
                <w:szCs w:val="24"/>
              </w:rPr>
              <w:t>R</w:t>
            </w:r>
          </w:p>
        </w:tc>
        <w:tc>
          <w:tcPr>
            <w:tcW w:w="900" w:type="dxa"/>
            <w:shd w:val="clear" w:color="auto" w:fill="auto"/>
            <w:vAlign w:val="center"/>
          </w:tcPr>
          <w:p w14:paraId="3F78283E">
            <w:pPr>
              <w:snapToGrid w:val="0"/>
              <w:spacing w:line="420" w:lineRule="exact"/>
              <w:jc w:val="center"/>
              <w:rPr>
                <w:color w:val="000000"/>
                <w:sz w:val="24"/>
                <w:szCs w:val="24"/>
              </w:rPr>
            </w:pPr>
            <w:r>
              <w:rPr>
                <w:rFonts w:hint="eastAsia"/>
                <w:color w:val="000000"/>
                <w:sz w:val="24"/>
                <w:szCs w:val="24"/>
              </w:rPr>
              <w:t>R</w:t>
            </w:r>
          </w:p>
        </w:tc>
        <w:tc>
          <w:tcPr>
            <w:tcW w:w="795" w:type="dxa"/>
            <w:shd w:val="clear" w:color="auto" w:fill="auto"/>
            <w:vAlign w:val="center"/>
          </w:tcPr>
          <w:p w14:paraId="1B2F1456">
            <w:pPr>
              <w:snapToGrid w:val="0"/>
              <w:spacing w:line="420" w:lineRule="exact"/>
              <w:jc w:val="center"/>
              <w:rPr>
                <w:color w:val="000000"/>
                <w:sz w:val="24"/>
                <w:szCs w:val="24"/>
              </w:rPr>
            </w:pPr>
            <w:r>
              <w:rPr>
                <w:rFonts w:hint="eastAsia"/>
                <w:color w:val="000000"/>
                <w:sz w:val="24"/>
                <w:szCs w:val="24"/>
              </w:rPr>
              <w:t>R</w:t>
            </w:r>
          </w:p>
        </w:tc>
        <w:tc>
          <w:tcPr>
            <w:tcW w:w="960" w:type="dxa"/>
            <w:shd w:val="clear" w:color="auto" w:fill="auto"/>
            <w:vAlign w:val="center"/>
          </w:tcPr>
          <w:p w14:paraId="2C34033E">
            <w:pPr>
              <w:snapToGrid w:val="0"/>
              <w:spacing w:line="420" w:lineRule="exact"/>
              <w:jc w:val="center"/>
              <w:rPr>
                <w:color w:val="000000"/>
                <w:sz w:val="24"/>
                <w:szCs w:val="24"/>
              </w:rPr>
            </w:pPr>
            <w:r>
              <w:rPr>
                <w:rFonts w:hint="eastAsia"/>
                <w:color w:val="000000"/>
                <w:sz w:val="24"/>
                <w:szCs w:val="24"/>
              </w:rPr>
              <w:t>O</w:t>
            </w:r>
          </w:p>
        </w:tc>
        <w:tc>
          <w:tcPr>
            <w:tcW w:w="750" w:type="dxa"/>
            <w:shd w:val="clear" w:color="auto" w:fill="auto"/>
            <w:vAlign w:val="center"/>
          </w:tcPr>
          <w:p w14:paraId="3429A75F">
            <w:pPr>
              <w:snapToGrid w:val="0"/>
              <w:spacing w:line="420" w:lineRule="exact"/>
              <w:jc w:val="center"/>
              <w:rPr>
                <w:color w:val="000000"/>
                <w:sz w:val="24"/>
                <w:szCs w:val="24"/>
              </w:rPr>
            </w:pPr>
            <w:r>
              <w:rPr>
                <w:rFonts w:hint="eastAsia"/>
                <w:color w:val="000000"/>
                <w:sz w:val="24"/>
                <w:szCs w:val="24"/>
              </w:rPr>
              <w:t>R</w:t>
            </w:r>
          </w:p>
        </w:tc>
        <w:tc>
          <w:tcPr>
            <w:tcW w:w="855" w:type="dxa"/>
            <w:shd w:val="clear" w:color="auto" w:fill="auto"/>
            <w:vAlign w:val="center"/>
          </w:tcPr>
          <w:p w14:paraId="5C8DBB95">
            <w:pPr>
              <w:snapToGrid w:val="0"/>
              <w:spacing w:line="420" w:lineRule="exact"/>
              <w:jc w:val="center"/>
              <w:rPr>
                <w:color w:val="000000"/>
                <w:sz w:val="24"/>
                <w:szCs w:val="24"/>
              </w:rPr>
            </w:pPr>
            <w:r>
              <w:rPr>
                <w:rFonts w:hint="eastAsia"/>
                <w:color w:val="000000"/>
                <w:sz w:val="24"/>
                <w:szCs w:val="24"/>
              </w:rPr>
              <w:t>O</w:t>
            </w:r>
          </w:p>
        </w:tc>
      </w:tr>
      <w:tr w14:paraId="76AD71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40" w:type="dxa"/>
            <w:shd w:val="clear" w:color="auto" w:fill="auto"/>
          </w:tcPr>
          <w:p w14:paraId="74281814">
            <w:pPr>
              <w:snapToGrid w:val="0"/>
              <w:jc w:val="left"/>
              <w:rPr>
                <w:color w:val="000000"/>
              </w:rPr>
            </w:pPr>
            <w:r>
              <w:rPr>
                <w:rFonts w:hint="eastAsia"/>
                <w:color w:val="000000"/>
              </w:rPr>
              <w:t>混合有机化合物</w:t>
            </w:r>
          </w:p>
        </w:tc>
        <w:tc>
          <w:tcPr>
            <w:tcW w:w="1733" w:type="dxa"/>
            <w:shd w:val="clear" w:color="auto" w:fill="auto"/>
          </w:tcPr>
          <w:p w14:paraId="17FFACA8">
            <w:pPr>
              <w:snapToGrid w:val="0"/>
              <w:spacing w:line="420" w:lineRule="exact"/>
              <w:ind w:right="-91"/>
              <w:jc w:val="left"/>
              <w:rPr>
                <w:color w:val="000000"/>
                <w:sz w:val="24"/>
                <w:szCs w:val="24"/>
              </w:rPr>
            </w:pPr>
            <w:r>
              <w:rPr>
                <w:rFonts w:hint="eastAsia" w:ascii="Arial" w:hAnsi="Arial" w:cs="Arial"/>
                <w:color w:val="000000"/>
                <w:sz w:val="18"/>
                <w:szCs w:val="18"/>
              </w:rPr>
              <w:t>HW08、HW42等</w:t>
            </w:r>
          </w:p>
        </w:tc>
        <w:tc>
          <w:tcPr>
            <w:tcW w:w="652" w:type="dxa"/>
            <w:shd w:val="clear" w:color="auto" w:fill="auto"/>
            <w:vAlign w:val="center"/>
          </w:tcPr>
          <w:p w14:paraId="4877182A">
            <w:pPr>
              <w:snapToGrid w:val="0"/>
              <w:spacing w:line="420" w:lineRule="exact"/>
              <w:jc w:val="center"/>
              <w:rPr>
                <w:color w:val="000000"/>
                <w:sz w:val="24"/>
                <w:szCs w:val="24"/>
              </w:rPr>
            </w:pPr>
            <w:r>
              <w:rPr>
                <w:rFonts w:hint="eastAsia"/>
                <w:color w:val="000000"/>
                <w:sz w:val="24"/>
                <w:szCs w:val="24"/>
              </w:rPr>
              <w:t>R</w:t>
            </w:r>
          </w:p>
        </w:tc>
        <w:tc>
          <w:tcPr>
            <w:tcW w:w="660" w:type="dxa"/>
            <w:shd w:val="clear" w:color="auto" w:fill="auto"/>
            <w:vAlign w:val="center"/>
          </w:tcPr>
          <w:p w14:paraId="78126F49">
            <w:pPr>
              <w:snapToGrid w:val="0"/>
              <w:spacing w:line="420" w:lineRule="exact"/>
              <w:jc w:val="center"/>
              <w:rPr>
                <w:color w:val="000000"/>
                <w:sz w:val="24"/>
                <w:szCs w:val="24"/>
              </w:rPr>
            </w:pPr>
            <w:r>
              <w:rPr>
                <w:rFonts w:hint="eastAsia"/>
                <w:color w:val="000000"/>
                <w:sz w:val="24"/>
                <w:szCs w:val="24"/>
              </w:rPr>
              <w:t xml:space="preserve">N </w:t>
            </w:r>
          </w:p>
        </w:tc>
        <w:tc>
          <w:tcPr>
            <w:tcW w:w="660" w:type="dxa"/>
            <w:shd w:val="clear" w:color="auto" w:fill="auto"/>
            <w:vAlign w:val="center"/>
          </w:tcPr>
          <w:p w14:paraId="0601B829">
            <w:pPr>
              <w:snapToGrid w:val="0"/>
              <w:spacing w:line="420" w:lineRule="exact"/>
              <w:jc w:val="center"/>
              <w:rPr>
                <w:color w:val="000000"/>
                <w:sz w:val="24"/>
                <w:szCs w:val="24"/>
              </w:rPr>
            </w:pPr>
            <w:r>
              <w:rPr>
                <w:rFonts w:hint="eastAsia"/>
                <w:color w:val="000000"/>
                <w:sz w:val="24"/>
                <w:szCs w:val="24"/>
              </w:rPr>
              <w:t xml:space="preserve">N </w:t>
            </w:r>
          </w:p>
        </w:tc>
        <w:tc>
          <w:tcPr>
            <w:tcW w:w="900" w:type="dxa"/>
            <w:shd w:val="clear" w:color="auto" w:fill="auto"/>
            <w:vAlign w:val="center"/>
          </w:tcPr>
          <w:p w14:paraId="35B7CD1A">
            <w:pPr>
              <w:snapToGrid w:val="0"/>
              <w:spacing w:line="420" w:lineRule="exact"/>
              <w:jc w:val="center"/>
              <w:rPr>
                <w:color w:val="000000"/>
                <w:sz w:val="24"/>
                <w:szCs w:val="24"/>
              </w:rPr>
            </w:pPr>
            <w:r>
              <w:rPr>
                <w:rFonts w:hint="eastAsia"/>
                <w:b/>
                <w:bCs/>
                <w:color w:val="000000"/>
                <w:sz w:val="24"/>
                <w:szCs w:val="24"/>
              </w:rPr>
              <w:t>A</w:t>
            </w:r>
          </w:p>
        </w:tc>
        <w:tc>
          <w:tcPr>
            <w:tcW w:w="795" w:type="dxa"/>
            <w:shd w:val="clear" w:color="auto" w:fill="auto"/>
            <w:vAlign w:val="center"/>
          </w:tcPr>
          <w:p w14:paraId="586AAFC9">
            <w:pPr>
              <w:snapToGrid w:val="0"/>
              <w:spacing w:line="420" w:lineRule="exact"/>
              <w:jc w:val="center"/>
              <w:rPr>
                <w:color w:val="000000"/>
                <w:sz w:val="24"/>
                <w:szCs w:val="24"/>
              </w:rPr>
            </w:pPr>
            <w:r>
              <w:rPr>
                <w:rFonts w:hint="eastAsia"/>
                <w:color w:val="000000"/>
                <w:sz w:val="24"/>
                <w:szCs w:val="24"/>
              </w:rPr>
              <w:t>R</w:t>
            </w:r>
          </w:p>
        </w:tc>
        <w:tc>
          <w:tcPr>
            <w:tcW w:w="960" w:type="dxa"/>
            <w:shd w:val="clear" w:color="auto" w:fill="auto"/>
            <w:vAlign w:val="center"/>
          </w:tcPr>
          <w:p w14:paraId="52AC7D6C">
            <w:pPr>
              <w:snapToGrid w:val="0"/>
              <w:spacing w:line="420" w:lineRule="exact"/>
              <w:jc w:val="center"/>
              <w:rPr>
                <w:color w:val="000000"/>
                <w:sz w:val="24"/>
                <w:szCs w:val="24"/>
              </w:rPr>
            </w:pPr>
            <w:r>
              <w:rPr>
                <w:rFonts w:hint="eastAsia"/>
                <w:color w:val="000000"/>
                <w:sz w:val="24"/>
                <w:szCs w:val="24"/>
              </w:rPr>
              <w:t>R</w:t>
            </w:r>
          </w:p>
        </w:tc>
        <w:tc>
          <w:tcPr>
            <w:tcW w:w="750" w:type="dxa"/>
            <w:shd w:val="clear" w:color="auto" w:fill="auto"/>
            <w:vAlign w:val="center"/>
          </w:tcPr>
          <w:p w14:paraId="480EC074">
            <w:pPr>
              <w:snapToGrid w:val="0"/>
              <w:spacing w:line="420" w:lineRule="exact"/>
              <w:jc w:val="center"/>
              <w:rPr>
                <w:color w:val="000000"/>
                <w:sz w:val="24"/>
                <w:szCs w:val="24"/>
              </w:rPr>
            </w:pPr>
            <w:r>
              <w:rPr>
                <w:rFonts w:hint="eastAsia"/>
                <w:color w:val="000000"/>
                <w:sz w:val="24"/>
                <w:szCs w:val="24"/>
              </w:rPr>
              <w:t>R</w:t>
            </w:r>
          </w:p>
        </w:tc>
        <w:tc>
          <w:tcPr>
            <w:tcW w:w="855" w:type="dxa"/>
            <w:shd w:val="clear" w:color="auto" w:fill="auto"/>
            <w:vAlign w:val="center"/>
          </w:tcPr>
          <w:p w14:paraId="30A19DB8">
            <w:pPr>
              <w:snapToGrid w:val="0"/>
              <w:spacing w:line="420" w:lineRule="exact"/>
              <w:jc w:val="center"/>
              <w:rPr>
                <w:color w:val="000000"/>
                <w:sz w:val="24"/>
                <w:szCs w:val="24"/>
              </w:rPr>
            </w:pPr>
            <w:r>
              <w:rPr>
                <w:rFonts w:hint="eastAsia"/>
                <w:color w:val="000000"/>
                <w:sz w:val="24"/>
                <w:szCs w:val="24"/>
              </w:rPr>
              <w:t>R</w:t>
            </w:r>
          </w:p>
        </w:tc>
      </w:tr>
      <w:tr w14:paraId="34E99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40" w:type="dxa"/>
            <w:shd w:val="clear" w:color="auto" w:fill="auto"/>
          </w:tcPr>
          <w:p w14:paraId="37D1D3FD">
            <w:pPr>
              <w:snapToGrid w:val="0"/>
              <w:jc w:val="left"/>
              <w:rPr>
                <w:color w:val="000000"/>
              </w:rPr>
            </w:pPr>
            <w:r>
              <w:rPr>
                <w:rFonts w:hint="eastAsia"/>
                <w:color w:val="000000"/>
              </w:rPr>
              <w:t>有机淤泥</w:t>
            </w:r>
          </w:p>
        </w:tc>
        <w:tc>
          <w:tcPr>
            <w:tcW w:w="1733" w:type="dxa"/>
            <w:shd w:val="clear" w:color="auto" w:fill="auto"/>
          </w:tcPr>
          <w:p w14:paraId="383E94D7">
            <w:pPr>
              <w:snapToGrid w:val="0"/>
              <w:spacing w:line="420" w:lineRule="exact"/>
              <w:jc w:val="left"/>
              <w:rPr>
                <w:color w:val="000000"/>
                <w:sz w:val="24"/>
                <w:szCs w:val="24"/>
              </w:rPr>
            </w:pPr>
            <w:r>
              <w:rPr>
                <w:rFonts w:hint="eastAsia" w:ascii="Arial" w:hAnsi="Arial" w:cs="Arial"/>
                <w:color w:val="000000"/>
                <w:sz w:val="18"/>
                <w:szCs w:val="18"/>
              </w:rPr>
              <w:t>HW08、HW12、HW42等</w:t>
            </w:r>
          </w:p>
        </w:tc>
        <w:tc>
          <w:tcPr>
            <w:tcW w:w="652" w:type="dxa"/>
            <w:shd w:val="clear" w:color="auto" w:fill="auto"/>
            <w:vAlign w:val="center"/>
          </w:tcPr>
          <w:p w14:paraId="046E39E4">
            <w:pPr>
              <w:snapToGrid w:val="0"/>
              <w:spacing w:line="420" w:lineRule="exact"/>
              <w:jc w:val="center"/>
              <w:rPr>
                <w:color w:val="000000"/>
                <w:sz w:val="24"/>
                <w:szCs w:val="24"/>
              </w:rPr>
            </w:pPr>
            <w:r>
              <w:rPr>
                <w:rFonts w:hint="eastAsia"/>
                <w:color w:val="000000"/>
                <w:sz w:val="24"/>
                <w:szCs w:val="24"/>
              </w:rPr>
              <w:t>R</w:t>
            </w:r>
          </w:p>
        </w:tc>
        <w:tc>
          <w:tcPr>
            <w:tcW w:w="660" w:type="dxa"/>
            <w:shd w:val="clear" w:color="auto" w:fill="auto"/>
            <w:vAlign w:val="center"/>
          </w:tcPr>
          <w:p w14:paraId="51C801D7">
            <w:pPr>
              <w:snapToGrid w:val="0"/>
              <w:spacing w:line="420" w:lineRule="exact"/>
              <w:jc w:val="center"/>
              <w:rPr>
                <w:color w:val="000000"/>
                <w:sz w:val="24"/>
                <w:szCs w:val="24"/>
              </w:rPr>
            </w:pPr>
            <w:r>
              <w:rPr>
                <w:rFonts w:hint="eastAsia"/>
                <w:color w:val="000000"/>
                <w:sz w:val="24"/>
                <w:szCs w:val="24"/>
              </w:rPr>
              <w:t xml:space="preserve">N </w:t>
            </w:r>
          </w:p>
        </w:tc>
        <w:tc>
          <w:tcPr>
            <w:tcW w:w="660" w:type="dxa"/>
            <w:shd w:val="clear" w:color="auto" w:fill="auto"/>
            <w:vAlign w:val="center"/>
          </w:tcPr>
          <w:p w14:paraId="7A1AFEF7">
            <w:pPr>
              <w:snapToGrid w:val="0"/>
              <w:spacing w:line="420" w:lineRule="exact"/>
              <w:jc w:val="center"/>
              <w:rPr>
                <w:color w:val="000000"/>
                <w:sz w:val="24"/>
                <w:szCs w:val="24"/>
              </w:rPr>
            </w:pPr>
            <w:r>
              <w:rPr>
                <w:rFonts w:hint="eastAsia"/>
                <w:color w:val="000000"/>
                <w:sz w:val="24"/>
                <w:szCs w:val="24"/>
              </w:rPr>
              <w:t xml:space="preserve">N </w:t>
            </w:r>
          </w:p>
        </w:tc>
        <w:tc>
          <w:tcPr>
            <w:tcW w:w="900" w:type="dxa"/>
            <w:shd w:val="clear" w:color="auto" w:fill="auto"/>
            <w:vAlign w:val="center"/>
          </w:tcPr>
          <w:p w14:paraId="6091AB3D">
            <w:pPr>
              <w:snapToGrid w:val="0"/>
              <w:spacing w:line="420" w:lineRule="exact"/>
              <w:jc w:val="center"/>
              <w:rPr>
                <w:color w:val="000000"/>
                <w:sz w:val="24"/>
                <w:szCs w:val="24"/>
              </w:rPr>
            </w:pPr>
            <w:r>
              <w:rPr>
                <w:rFonts w:hint="eastAsia"/>
                <w:color w:val="000000"/>
                <w:sz w:val="24"/>
                <w:szCs w:val="24"/>
              </w:rPr>
              <w:t>R</w:t>
            </w:r>
          </w:p>
        </w:tc>
        <w:tc>
          <w:tcPr>
            <w:tcW w:w="795" w:type="dxa"/>
            <w:shd w:val="clear" w:color="auto" w:fill="auto"/>
            <w:vAlign w:val="center"/>
          </w:tcPr>
          <w:p w14:paraId="780932F8">
            <w:pPr>
              <w:snapToGrid w:val="0"/>
              <w:spacing w:line="420" w:lineRule="exact"/>
              <w:jc w:val="center"/>
              <w:rPr>
                <w:color w:val="000000"/>
                <w:sz w:val="24"/>
                <w:szCs w:val="24"/>
              </w:rPr>
            </w:pPr>
            <w:r>
              <w:rPr>
                <w:rFonts w:hint="eastAsia"/>
                <w:color w:val="000000"/>
                <w:sz w:val="24"/>
                <w:szCs w:val="24"/>
              </w:rPr>
              <w:t>R</w:t>
            </w:r>
          </w:p>
        </w:tc>
        <w:tc>
          <w:tcPr>
            <w:tcW w:w="960" w:type="dxa"/>
            <w:shd w:val="clear" w:color="auto" w:fill="auto"/>
            <w:vAlign w:val="center"/>
          </w:tcPr>
          <w:p w14:paraId="7B8ABE69">
            <w:pPr>
              <w:snapToGrid w:val="0"/>
              <w:spacing w:line="420" w:lineRule="exact"/>
              <w:jc w:val="center"/>
              <w:rPr>
                <w:color w:val="000000"/>
                <w:sz w:val="24"/>
                <w:szCs w:val="24"/>
              </w:rPr>
            </w:pPr>
            <w:r>
              <w:rPr>
                <w:rFonts w:hint="eastAsia"/>
                <w:color w:val="000000"/>
                <w:sz w:val="24"/>
                <w:szCs w:val="24"/>
              </w:rPr>
              <w:t>O</w:t>
            </w:r>
          </w:p>
        </w:tc>
        <w:tc>
          <w:tcPr>
            <w:tcW w:w="750" w:type="dxa"/>
            <w:shd w:val="clear" w:color="auto" w:fill="auto"/>
            <w:vAlign w:val="center"/>
          </w:tcPr>
          <w:p w14:paraId="604A5FEA">
            <w:pPr>
              <w:snapToGrid w:val="0"/>
              <w:spacing w:line="420" w:lineRule="exact"/>
              <w:jc w:val="center"/>
              <w:rPr>
                <w:color w:val="000000"/>
                <w:sz w:val="24"/>
                <w:szCs w:val="24"/>
              </w:rPr>
            </w:pPr>
            <w:r>
              <w:rPr>
                <w:rFonts w:hint="eastAsia"/>
                <w:color w:val="000000"/>
                <w:sz w:val="24"/>
                <w:szCs w:val="24"/>
              </w:rPr>
              <w:t>R</w:t>
            </w:r>
          </w:p>
        </w:tc>
        <w:tc>
          <w:tcPr>
            <w:tcW w:w="855" w:type="dxa"/>
            <w:shd w:val="clear" w:color="auto" w:fill="auto"/>
            <w:vAlign w:val="center"/>
          </w:tcPr>
          <w:p w14:paraId="1AB443D5">
            <w:pPr>
              <w:snapToGrid w:val="0"/>
              <w:spacing w:line="420" w:lineRule="exact"/>
              <w:jc w:val="center"/>
              <w:rPr>
                <w:color w:val="000000"/>
                <w:sz w:val="24"/>
                <w:szCs w:val="24"/>
              </w:rPr>
            </w:pPr>
            <w:r>
              <w:rPr>
                <w:rFonts w:hint="eastAsia"/>
                <w:color w:val="000000"/>
                <w:sz w:val="24"/>
                <w:szCs w:val="24"/>
              </w:rPr>
              <w:t>O</w:t>
            </w:r>
          </w:p>
        </w:tc>
      </w:tr>
      <w:tr w14:paraId="6ADB9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40" w:type="dxa"/>
            <w:shd w:val="clear" w:color="auto" w:fill="auto"/>
          </w:tcPr>
          <w:p w14:paraId="4748CC66">
            <w:pPr>
              <w:snapToGrid w:val="0"/>
              <w:jc w:val="left"/>
              <w:rPr>
                <w:color w:val="000000"/>
              </w:rPr>
            </w:pPr>
            <w:r>
              <w:rPr>
                <w:rFonts w:hint="eastAsia"/>
                <w:color w:val="000000"/>
              </w:rPr>
              <w:t>废油漆</w:t>
            </w:r>
          </w:p>
        </w:tc>
        <w:tc>
          <w:tcPr>
            <w:tcW w:w="1733" w:type="dxa"/>
            <w:shd w:val="clear" w:color="auto" w:fill="auto"/>
          </w:tcPr>
          <w:p w14:paraId="24566F32">
            <w:pPr>
              <w:snapToGrid w:val="0"/>
              <w:spacing w:line="420" w:lineRule="exact"/>
              <w:jc w:val="left"/>
              <w:rPr>
                <w:color w:val="000000"/>
                <w:sz w:val="24"/>
                <w:szCs w:val="24"/>
              </w:rPr>
            </w:pPr>
            <w:r>
              <w:rPr>
                <w:rFonts w:hint="eastAsia" w:ascii="Arial" w:hAnsi="Arial" w:cs="Arial"/>
                <w:color w:val="000000"/>
                <w:sz w:val="18"/>
                <w:szCs w:val="18"/>
              </w:rPr>
              <w:t>HW12</w:t>
            </w:r>
          </w:p>
        </w:tc>
        <w:tc>
          <w:tcPr>
            <w:tcW w:w="652" w:type="dxa"/>
            <w:shd w:val="clear" w:color="auto" w:fill="auto"/>
            <w:vAlign w:val="center"/>
          </w:tcPr>
          <w:p w14:paraId="1720B852">
            <w:pPr>
              <w:snapToGrid w:val="0"/>
              <w:spacing w:line="420" w:lineRule="exact"/>
              <w:jc w:val="center"/>
              <w:rPr>
                <w:color w:val="000000"/>
                <w:sz w:val="24"/>
                <w:szCs w:val="24"/>
              </w:rPr>
            </w:pPr>
            <w:r>
              <w:rPr>
                <w:rFonts w:hint="eastAsia"/>
                <w:color w:val="000000"/>
                <w:sz w:val="24"/>
                <w:szCs w:val="24"/>
              </w:rPr>
              <w:t>R</w:t>
            </w:r>
          </w:p>
        </w:tc>
        <w:tc>
          <w:tcPr>
            <w:tcW w:w="660" w:type="dxa"/>
            <w:shd w:val="clear" w:color="auto" w:fill="auto"/>
            <w:vAlign w:val="center"/>
          </w:tcPr>
          <w:p w14:paraId="75A19FFE">
            <w:pPr>
              <w:snapToGrid w:val="0"/>
              <w:spacing w:line="420" w:lineRule="exact"/>
              <w:jc w:val="center"/>
              <w:rPr>
                <w:color w:val="000000"/>
                <w:sz w:val="24"/>
                <w:szCs w:val="24"/>
              </w:rPr>
            </w:pPr>
            <w:r>
              <w:rPr>
                <w:rFonts w:hint="eastAsia"/>
                <w:color w:val="000000"/>
                <w:sz w:val="24"/>
                <w:szCs w:val="24"/>
              </w:rPr>
              <w:t xml:space="preserve">N </w:t>
            </w:r>
          </w:p>
        </w:tc>
        <w:tc>
          <w:tcPr>
            <w:tcW w:w="660" w:type="dxa"/>
            <w:shd w:val="clear" w:color="auto" w:fill="auto"/>
            <w:vAlign w:val="center"/>
          </w:tcPr>
          <w:p w14:paraId="6019BACB">
            <w:pPr>
              <w:snapToGrid w:val="0"/>
              <w:spacing w:line="420" w:lineRule="exact"/>
              <w:jc w:val="center"/>
              <w:rPr>
                <w:color w:val="000000"/>
                <w:sz w:val="24"/>
                <w:szCs w:val="24"/>
              </w:rPr>
            </w:pPr>
            <w:r>
              <w:rPr>
                <w:rFonts w:hint="eastAsia"/>
                <w:color w:val="000000"/>
                <w:sz w:val="24"/>
                <w:szCs w:val="24"/>
              </w:rPr>
              <w:t xml:space="preserve">N </w:t>
            </w:r>
          </w:p>
        </w:tc>
        <w:tc>
          <w:tcPr>
            <w:tcW w:w="900" w:type="dxa"/>
            <w:shd w:val="clear" w:color="auto" w:fill="auto"/>
            <w:vAlign w:val="center"/>
          </w:tcPr>
          <w:p w14:paraId="17F3BE87">
            <w:pPr>
              <w:snapToGrid w:val="0"/>
              <w:spacing w:line="420" w:lineRule="exact"/>
              <w:jc w:val="center"/>
              <w:rPr>
                <w:color w:val="000000"/>
                <w:sz w:val="24"/>
                <w:szCs w:val="24"/>
              </w:rPr>
            </w:pPr>
            <w:r>
              <w:rPr>
                <w:rFonts w:hint="eastAsia"/>
                <w:color w:val="000000"/>
                <w:sz w:val="24"/>
                <w:szCs w:val="24"/>
              </w:rPr>
              <w:t>R</w:t>
            </w:r>
          </w:p>
        </w:tc>
        <w:tc>
          <w:tcPr>
            <w:tcW w:w="795" w:type="dxa"/>
            <w:shd w:val="clear" w:color="auto" w:fill="auto"/>
            <w:vAlign w:val="center"/>
          </w:tcPr>
          <w:p w14:paraId="674911ED">
            <w:pPr>
              <w:snapToGrid w:val="0"/>
              <w:spacing w:line="420" w:lineRule="exact"/>
              <w:jc w:val="center"/>
              <w:rPr>
                <w:color w:val="000000"/>
                <w:sz w:val="24"/>
                <w:szCs w:val="24"/>
              </w:rPr>
            </w:pPr>
            <w:r>
              <w:rPr>
                <w:rFonts w:hint="eastAsia"/>
                <w:color w:val="000000"/>
                <w:sz w:val="24"/>
                <w:szCs w:val="24"/>
              </w:rPr>
              <w:t>R</w:t>
            </w:r>
          </w:p>
        </w:tc>
        <w:tc>
          <w:tcPr>
            <w:tcW w:w="960" w:type="dxa"/>
            <w:shd w:val="clear" w:color="auto" w:fill="auto"/>
            <w:vAlign w:val="center"/>
          </w:tcPr>
          <w:p w14:paraId="2DAFD993">
            <w:pPr>
              <w:snapToGrid w:val="0"/>
              <w:spacing w:line="420" w:lineRule="exact"/>
              <w:jc w:val="center"/>
              <w:rPr>
                <w:color w:val="000000"/>
                <w:sz w:val="24"/>
                <w:szCs w:val="24"/>
              </w:rPr>
            </w:pPr>
            <w:r>
              <w:rPr>
                <w:rFonts w:hint="eastAsia"/>
                <w:color w:val="000000"/>
                <w:sz w:val="24"/>
                <w:szCs w:val="24"/>
              </w:rPr>
              <w:t>R</w:t>
            </w:r>
          </w:p>
        </w:tc>
        <w:tc>
          <w:tcPr>
            <w:tcW w:w="750" w:type="dxa"/>
            <w:shd w:val="clear" w:color="auto" w:fill="auto"/>
            <w:vAlign w:val="center"/>
          </w:tcPr>
          <w:p w14:paraId="76DEFF4E">
            <w:pPr>
              <w:snapToGrid w:val="0"/>
              <w:spacing w:line="420" w:lineRule="exact"/>
              <w:jc w:val="center"/>
              <w:rPr>
                <w:color w:val="000000"/>
                <w:sz w:val="24"/>
                <w:szCs w:val="24"/>
              </w:rPr>
            </w:pPr>
            <w:r>
              <w:rPr>
                <w:rFonts w:hint="eastAsia"/>
                <w:color w:val="000000"/>
                <w:sz w:val="24"/>
                <w:szCs w:val="24"/>
              </w:rPr>
              <w:t>R</w:t>
            </w:r>
          </w:p>
        </w:tc>
        <w:tc>
          <w:tcPr>
            <w:tcW w:w="855" w:type="dxa"/>
            <w:shd w:val="clear" w:color="auto" w:fill="auto"/>
            <w:vAlign w:val="center"/>
          </w:tcPr>
          <w:p w14:paraId="5A32C464">
            <w:pPr>
              <w:snapToGrid w:val="0"/>
              <w:spacing w:line="420" w:lineRule="exact"/>
              <w:jc w:val="center"/>
              <w:rPr>
                <w:color w:val="000000"/>
                <w:sz w:val="24"/>
                <w:szCs w:val="24"/>
              </w:rPr>
            </w:pPr>
            <w:r>
              <w:rPr>
                <w:rFonts w:hint="eastAsia"/>
                <w:color w:val="000000"/>
                <w:sz w:val="24"/>
                <w:szCs w:val="24"/>
              </w:rPr>
              <w:t>R</w:t>
            </w:r>
          </w:p>
        </w:tc>
      </w:tr>
      <w:tr w14:paraId="314CBD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40" w:type="dxa"/>
            <w:shd w:val="clear" w:color="auto" w:fill="auto"/>
          </w:tcPr>
          <w:p w14:paraId="7A617848">
            <w:pPr>
              <w:snapToGrid w:val="0"/>
              <w:jc w:val="left"/>
              <w:rPr>
                <w:color w:val="000000"/>
              </w:rPr>
            </w:pPr>
            <w:r>
              <w:rPr>
                <w:rFonts w:ascii="Arial" w:cs="Arial"/>
                <w:color w:val="000000"/>
              </w:rPr>
              <w:t>聚合前驱物及产生的废物</w:t>
            </w:r>
          </w:p>
        </w:tc>
        <w:tc>
          <w:tcPr>
            <w:tcW w:w="1733" w:type="dxa"/>
            <w:shd w:val="clear" w:color="auto" w:fill="auto"/>
          </w:tcPr>
          <w:p w14:paraId="1E0CBA8D">
            <w:pPr>
              <w:snapToGrid w:val="0"/>
              <w:spacing w:line="420" w:lineRule="exact"/>
              <w:jc w:val="left"/>
              <w:rPr>
                <w:color w:val="000000"/>
                <w:sz w:val="24"/>
                <w:szCs w:val="24"/>
              </w:rPr>
            </w:pPr>
            <w:r>
              <w:rPr>
                <w:rFonts w:hint="eastAsia" w:ascii="Arial" w:hAnsi="Arial" w:cs="Arial"/>
                <w:color w:val="000000"/>
                <w:sz w:val="18"/>
                <w:szCs w:val="18"/>
              </w:rPr>
              <w:t>HW06等</w:t>
            </w:r>
          </w:p>
        </w:tc>
        <w:tc>
          <w:tcPr>
            <w:tcW w:w="652" w:type="dxa"/>
            <w:shd w:val="clear" w:color="auto" w:fill="auto"/>
            <w:vAlign w:val="center"/>
          </w:tcPr>
          <w:p w14:paraId="6F3009A9">
            <w:pPr>
              <w:snapToGrid w:val="0"/>
              <w:spacing w:line="420" w:lineRule="exact"/>
              <w:jc w:val="center"/>
              <w:rPr>
                <w:color w:val="000000"/>
                <w:sz w:val="24"/>
                <w:szCs w:val="24"/>
              </w:rPr>
            </w:pPr>
            <w:r>
              <w:rPr>
                <w:rFonts w:hint="eastAsia"/>
                <w:color w:val="000000"/>
                <w:sz w:val="24"/>
                <w:szCs w:val="24"/>
              </w:rPr>
              <w:t>R</w:t>
            </w:r>
          </w:p>
        </w:tc>
        <w:tc>
          <w:tcPr>
            <w:tcW w:w="660" w:type="dxa"/>
            <w:shd w:val="clear" w:color="auto" w:fill="auto"/>
            <w:vAlign w:val="center"/>
          </w:tcPr>
          <w:p w14:paraId="61646FA0">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c>
          <w:tcPr>
            <w:tcW w:w="660" w:type="dxa"/>
            <w:shd w:val="clear" w:color="auto" w:fill="auto"/>
            <w:vAlign w:val="center"/>
          </w:tcPr>
          <w:p w14:paraId="60B9BA7C">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c>
          <w:tcPr>
            <w:tcW w:w="900" w:type="dxa"/>
            <w:shd w:val="clear" w:color="auto" w:fill="auto"/>
            <w:vAlign w:val="center"/>
          </w:tcPr>
          <w:p w14:paraId="5283CD8C">
            <w:pPr>
              <w:snapToGrid w:val="0"/>
              <w:spacing w:line="420" w:lineRule="exact"/>
              <w:jc w:val="center"/>
              <w:rPr>
                <w:color w:val="000000"/>
                <w:sz w:val="24"/>
                <w:szCs w:val="24"/>
              </w:rPr>
            </w:pPr>
            <w:r>
              <w:rPr>
                <w:rFonts w:hint="eastAsia"/>
                <w:color w:val="000000"/>
                <w:sz w:val="24"/>
                <w:szCs w:val="24"/>
              </w:rPr>
              <w:t>R</w:t>
            </w:r>
          </w:p>
        </w:tc>
        <w:tc>
          <w:tcPr>
            <w:tcW w:w="795" w:type="dxa"/>
            <w:shd w:val="clear" w:color="auto" w:fill="auto"/>
            <w:vAlign w:val="center"/>
          </w:tcPr>
          <w:p w14:paraId="765A2B8C">
            <w:pPr>
              <w:snapToGrid w:val="0"/>
              <w:spacing w:line="420" w:lineRule="exact"/>
              <w:jc w:val="center"/>
              <w:rPr>
                <w:color w:val="000000"/>
                <w:sz w:val="24"/>
                <w:szCs w:val="24"/>
              </w:rPr>
            </w:pPr>
            <w:r>
              <w:rPr>
                <w:rFonts w:hint="eastAsia"/>
                <w:color w:val="000000"/>
                <w:sz w:val="24"/>
                <w:szCs w:val="24"/>
              </w:rPr>
              <w:t xml:space="preserve">N </w:t>
            </w:r>
          </w:p>
        </w:tc>
        <w:tc>
          <w:tcPr>
            <w:tcW w:w="960" w:type="dxa"/>
            <w:shd w:val="clear" w:color="auto" w:fill="auto"/>
            <w:vAlign w:val="center"/>
          </w:tcPr>
          <w:p w14:paraId="674BE055">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c>
          <w:tcPr>
            <w:tcW w:w="750" w:type="dxa"/>
            <w:shd w:val="clear" w:color="auto" w:fill="auto"/>
            <w:vAlign w:val="center"/>
          </w:tcPr>
          <w:p w14:paraId="255997D5">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c>
          <w:tcPr>
            <w:tcW w:w="855" w:type="dxa"/>
            <w:shd w:val="clear" w:color="auto" w:fill="auto"/>
            <w:vAlign w:val="center"/>
          </w:tcPr>
          <w:p w14:paraId="18AD0F55">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r>
      <w:tr w14:paraId="0AD5B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40" w:type="dxa"/>
            <w:shd w:val="clear" w:color="auto" w:fill="auto"/>
          </w:tcPr>
          <w:p w14:paraId="03BD6124">
            <w:pPr>
              <w:snapToGrid w:val="0"/>
              <w:jc w:val="left"/>
              <w:rPr>
                <w:color w:val="000000"/>
              </w:rPr>
            </w:pPr>
            <w:r>
              <w:rPr>
                <w:rFonts w:hint="eastAsia"/>
                <w:color w:val="000000"/>
              </w:rPr>
              <w:t>皮革废物</w:t>
            </w:r>
            <w:r>
              <w:rPr>
                <w:rFonts w:ascii="Arial" w:cs="Arial"/>
                <w:color w:val="000000"/>
              </w:rPr>
              <w:t>（铬鞣溶剂）</w:t>
            </w:r>
          </w:p>
        </w:tc>
        <w:tc>
          <w:tcPr>
            <w:tcW w:w="1733" w:type="dxa"/>
            <w:shd w:val="clear" w:color="auto" w:fill="auto"/>
          </w:tcPr>
          <w:p w14:paraId="5AD206D3">
            <w:pPr>
              <w:snapToGrid w:val="0"/>
              <w:spacing w:line="420" w:lineRule="exact"/>
              <w:jc w:val="left"/>
              <w:rPr>
                <w:color w:val="000000"/>
                <w:sz w:val="24"/>
                <w:szCs w:val="24"/>
              </w:rPr>
            </w:pPr>
            <w:r>
              <w:rPr>
                <w:rFonts w:hint="eastAsia" w:ascii="Arial" w:hAnsi="Arial" w:cs="Arial"/>
                <w:color w:val="000000"/>
                <w:sz w:val="18"/>
                <w:szCs w:val="18"/>
              </w:rPr>
              <w:t>HW21</w:t>
            </w:r>
          </w:p>
        </w:tc>
        <w:tc>
          <w:tcPr>
            <w:tcW w:w="652" w:type="dxa"/>
            <w:shd w:val="clear" w:color="auto" w:fill="auto"/>
            <w:vAlign w:val="center"/>
          </w:tcPr>
          <w:p w14:paraId="4F6D3C38">
            <w:pPr>
              <w:snapToGrid w:val="0"/>
              <w:spacing w:line="420" w:lineRule="exact"/>
              <w:jc w:val="center"/>
              <w:rPr>
                <w:color w:val="000000"/>
                <w:sz w:val="24"/>
                <w:szCs w:val="24"/>
              </w:rPr>
            </w:pPr>
            <w:r>
              <w:rPr>
                <w:rFonts w:hint="eastAsia"/>
                <w:color w:val="000000"/>
                <w:sz w:val="24"/>
                <w:szCs w:val="24"/>
              </w:rPr>
              <w:t>R</w:t>
            </w:r>
          </w:p>
        </w:tc>
        <w:tc>
          <w:tcPr>
            <w:tcW w:w="660" w:type="dxa"/>
            <w:shd w:val="clear" w:color="auto" w:fill="auto"/>
            <w:vAlign w:val="center"/>
          </w:tcPr>
          <w:p w14:paraId="79585347">
            <w:pPr>
              <w:snapToGrid w:val="0"/>
              <w:spacing w:line="420" w:lineRule="exact"/>
              <w:jc w:val="center"/>
              <w:rPr>
                <w:color w:val="000000"/>
                <w:sz w:val="24"/>
                <w:szCs w:val="24"/>
              </w:rPr>
            </w:pPr>
            <w:r>
              <w:rPr>
                <w:rFonts w:hint="eastAsia"/>
                <w:color w:val="000000"/>
                <w:sz w:val="24"/>
                <w:szCs w:val="24"/>
              </w:rPr>
              <w:t>R</w:t>
            </w:r>
          </w:p>
        </w:tc>
        <w:tc>
          <w:tcPr>
            <w:tcW w:w="660" w:type="dxa"/>
            <w:shd w:val="clear" w:color="auto" w:fill="auto"/>
            <w:vAlign w:val="center"/>
          </w:tcPr>
          <w:p w14:paraId="14E1F2B3">
            <w:pPr>
              <w:snapToGrid w:val="0"/>
              <w:spacing w:line="420" w:lineRule="exact"/>
              <w:jc w:val="center"/>
              <w:rPr>
                <w:color w:val="000000"/>
                <w:sz w:val="24"/>
                <w:szCs w:val="24"/>
              </w:rPr>
            </w:pPr>
            <w:r>
              <w:rPr>
                <w:rFonts w:hint="eastAsia"/>
                <w:color w:val="000000"/>
                <w:sz w:val="24"/>
                <w:szCs w:val="24"/>
              </w:rPr>
              <w:t>R</w:t>
            </w:r>
          </w:p>
        </w:tc>
        <w:tc>
          <w:tcPr>
            <w:tcW w:w="900" w:type="dxa"/>
            <w:shd w:val="clear" w:color="auto" w:fill="auto"/>
            <w:vAlign w:val="center"/>
          </w:tcPr>
          <w:p w14:paraId="763072AE">
            <w:pPr>
              <w:snapToGrid w:val="0"/>
              <w:spacing w:line="420" w:lineRule="exact"/>
              <w:jc w:val="center"/>
              <w:rPr>
                <w:color w:val="000000"/>
                <w:sz w:val="24"/>
                <w:szCs w:val="24"/>
              </w:rPr>
            </w:pPr>
            <w:r>
              <w:rPr>
                <w:rFonts w:hint="eastAsia"/>
                <w:color w:val="000000"/>
                <w:sz w:val="24"/>
                <w:szCs w:val="24"/>
              </w:rPr>
              <w:t>R</w:t>
            </w:r>
          </w:p>
        </w:tc>
        <w:tc>
          <w:tcPr>
            <w:tcW w:w="795" w:type="dxa"/>
            <w:shd w:val="clear" w:color="auto" w:fill="auto"/>
            <w:vAlign w:val="center"/>
          </w:tcPr>
          <w:p w14:paraId="63E68E5B">
            <w:pPr>
              <w:snapToGrid w:val="0"/>
              <w:spacing w:line="420" w:lineRule="exact"/>
              <w:jc w:val="center"/>
              <w:rPr>
                <w:color w:val="000000"/>
                <w:sz w:val="24"/>
                <w:szCs w:val="24"/>
              </w:rPr>
            </w:pPr>
            <w:r>
              <w:rPr>
                <w:rFonts w:hint="eastAsia"/>
                <w:color w:val="000000"/>
                <w:sz w:val="24"/>
                <w:szCs w:val="24"/>
              </w:rPr>
              <w:t xml:space="preserve">N </w:t>
            </w:r>
          </w:p>
        </w:tc>
        <w:tc>
          <w:tcPr>
            <w:tcW w:w="960" w:type="dxa"/>
            <w:shd w:val="clear" w:color="auto" w:fill="auto"/>
            <w:vAlign w:val="center"/>
          </w:tcPr>
          <w:p w14:paraId="68B79A89">
            <w:pPr>
              <w:snapToGrid w:val="0"/>
              <w:spacing w:line="420" w:lineRule="exact"/>
              <w:jc w:val="center"/>
              <w:rPr>
                <w:color w:val="000000"/>
                <w:sz w:val="24"/>
                <w:szCs w:val="24"/>
              </w:rPr>
            </w:pPr>
            <w:r>
              <w:rPr>
                <w:rFonts w:hint="eastAsia"/>
                <w:color w:val="000000"/>
                <w:sz w:val="24"/>
                <w:szCs w:val="24"/>
              </w:rPr>
              <w:t>O</w:t>
            </w:r>
          </w:p>
        </w:tc>
        <w:tc>
          <w:tcPr>
            <w:tcW w:w="750" w:type="dxa"/>
            <w:shd w:val="clear" w:color="auto" w:fill="auto"/>
            <w:vAlign w:val="center"/>
          </w:tcPr>
          <w:p w14:paraId="55E2D825">
            <w:pPr>
              <w:snapToGrid w:val="0"/>
              <w:spacing w:line="420" w:lineRule="exact"/>
              <w:jc w:val="center"/>
              <w:rPr>
                <w:color w:val="000000"/>
                <w:sz w:val="24"/>
                <w:szCs w:val="24"/>
              </w:rPr>
            </w:pPr>
            <w:r>
              <w:rPr>
                <w:rFonts w:hint="eastAsia"/>
                <w:color w:val="000000"/>
                <w:sz w:val="24"/>
                <w:szCs w:val="24"/>
              </w:rPr>
              <w:t>R</w:t>
            </w:r>
          </w:p>
        </w:tc>
        <w:tc>
          <w:tcPr>
            <w:tcW w:w="855" w:type="dxa"/>
            <w:shd w:val="clear" w:color="auto" w:fill="auto"/>
            <w:vAlign w:val="center"/>
          </w:tcPr>
          <w:p w14:paraId="50C44922">
            <w:pPr>
              <w:snapToGrid w:val="0"/>
              <w:spacing w:line="420" w:lineRule="exact"/>
              <w:jc w:val="center"/>
              <w:rPr>
                <w:color w:val="000000"/>
                <w:sz w:val="24"/>
                <w:szCs w:val="24"/>
              </w:rPr>
            </w:pPr>
            <w:r>
              <w:rPr>
                <w:rFonts w:hint="eastAsia"/>
                <w:color w:val="000000"/>
                <w:sz w:val="24"/>
                <w:szCs w:val="24"/>
              </w:rPr>
              <w:t>O</w:t>
            </w:r>
          </w:p>
        </w:tc>
      </w:tr>
      <w:tr w14:paraId="2210E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40" w:type="dxa"/>
            <w:shd w:val="clear" w:color="auto" w:fill="auto"/>
          </w:tcPr>
          <w:p w14:paraId="0F065E04">
            <w:pPr>
              <w:snapToGrid w:val="0"/>
              <w:jc w:val="left"/>
              <w:rPr>
                <w:color w:val="000000"/>
              </w:rPr>
            </w:pPr>
            <w:r>
              <w:rPr>
                <w:rFonts w:hint="eastAsia"/>
                <w:color w:val="000000"/>
              </w:rPr>
              <w:t>废催化剂</w:t>
            </w:r>
          </w:p>
        </w:tc>
        <w:tc>
          <w:tcPr>
            <w:tcW w:w="1733" w:type="dxa"/>
            <w:shd w:val="clear" w:color="auto" w:fill="auto"/>
          </w:tcPr>
          <w:p w14:paraId="786DBB3D">
            <w:pPr>
              <w:snapToGrid w:val="0"/>
              <w:spacing w:line="420" w:lineRule="exact"/>
              <w:ind w:right="-91"/>
              <w:jc w:val="left"/>
              <w:rPr>
                <w:color w:val="000000"/>
                <w:sz w:val="24"/>
                <w:szCs w:val="24"/>
              </w:rPr>
            </w:pPr>
            <w:r>
              <w:rPr>
                <w:rFonts w:hint="eastAsia" w:ascii="Arial" w:hAnsi="Arial" w:cs="Arial"/>
                <w:color w:val="000000"/>
                <w:sz w:val="18"/>
                <w:szCs w:val="18"/>
              </w:rPr>
              <w:t>HW06、HW46等</w:t>
            </w:r>
          </w:p>
        </w:tc>
        <w:tc>
          <w:tcPr>
            <w:tcW w:w="652" w:type="dxa"/>
            <w:shd w:val="clear" w:color="auto" w:fill="auto"/>
            <w:vAlign w:val="center"/>
          </w:tcPr>
          <w:p w14:paraId="21C8CB76">
            <w:pPr>
              <w:snapToGrid w:val="0"/>
              <w:spacing w:line="420" w:lineRule="exact"/>
              <w:jc w:val="center"/>
              <w:rPr>
                <w:color w:val="000000"/>
                <w:sz w:val="24"/>
                <w:szCs w:val="24"/>
              </w:rPr>
            </w:pPr>
            <w:r>
              <w:rPr>
                <w:rFonts w:hint="eastAsia"/>
                <w:color w:val="000000"/>
                <w:sz w:val="24"/>
                <w:szCs w:val="24"/>
              </w:rPr>
              <w:t>R</w:t>
            </w:r>
          </w:p>
        </w:tc>
        <w:tc>
          <w:tcPr>
            <w:tcW w:w="660" w:type="dxa"/>
            <w:shd w:val="clear" w:color="auto" w:fill="auto"/>
            <w:vAlign w:val="center"/>
          </w:tcPr>
          <w:p w14:paraId="703BCDCE">
            <w:pPr>
              <w:snapToGrid w:val="0"/>
              <w:spacing w:line="420" w:lineRule="exact"/>
              <w:jc w:val="center"/>
              <w:rPr>
                <w:color w:val="000000"/>
                <w:sz w:val="24"/>
                <w:szCs w:val="24"/>
              </w:rPr>
            </w:pPr>
            <w:r>
              <w:rPr>
                <w:rFonts w:hint="eastAsia"/>
                <w:color w:val="000000"/>
                <w:sz w:val="24"/>
                <w:szCs w:val="24"/>
              </w:rPr>
              <w:t>O</w:t>
            </w:r>
          </w:p>
        </w:tc>
        <w:tc>
          <w:tcPr>
            <w:tcW w:w="660" w:type="dxa"/>
            <w:shd w:val="clear" w:color="auto" w:fill="auto"/>
            <w:vAlign w:val="center"/>
          </w:tcPr>
          <w:p w14:paraId="5DBC768E">
            <w:pPr>
              <w:snapToGrid w:val="0"/>
              <w:spacing w:line="420" w:lineRule="exact"/>
              <w:jc w:val="center"/>
              <w:rPr>
                <w:color w:val="000000"/>
                <w:sz w:val="24"/>
                <w:szCs w:val="24"/>
              </w:rPr>
            </w:pPr>
            <w:r>
              <w:rPr>
                <w:rFonts w:hint="eastAsia"/>
                <w:color w:val="000000"/>
                <w:sz w:val="24"/>
                <w:szCs w:val="24"/>
              </w:rPr>
              <w:t>O</w:t>
            </w:r>
          </w:p>
        </w:tc>
        <w:tc>
          <w:tcPr>
            <w:tcW w:w="900" w:type="dxa"/>
            <w:shd w:val="clear" w:color="auto" w:fill="auto"/>
            <w:vAlign w:val="center"/>
          </w:tcPr>
          <w:p w14:paraId="763C3A01">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c>
          <w:tcPr>
            <w:tcW w:w="795" w:type="dxa"/>
            <w:shd w:val="clear" w:color="auto" w:fill="auto"/>
            <w:vAlign w:val="center"/>
          </w:tcPr>
          <w:p w14:paraId="33D8243D">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c>
          <w:tcPr>
            <w:tcW w:w="960" w:type="dxa"/>
            <w:shd w:val="clear" w:color="auto" w:fill="auto"/>
            <w:vAlign w:val="center"/>
          </w:tcPr>
          <w:p w14:paraId="5D550DC5">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c>
          <w:tcPr>
            <w:tcW w:w="750" w:type="dxa"/>
            <w:shd w:val="clear" w:color="auto" w:fill="auto"/>
            <w:vAlign w:val="center"/>
          </w:tcPr>
          <w:p w14:paraId="6F3A7EEF">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c>
          <w:tcPr>
            <w:tcW w:w="855" w:type="dxa"/>
            <w:shd w:val="clear" w:color="auto" w:fill="auto"/>
            <w:vAlign w:val="center"/>
          </w:tcPr>
          <w:p w14:paraId="73EFFB2F">
            <w:pPr>
              <w:snapToGrid w:val="0"/>
              <w:spacing w:line="420" w:lineRule="exact"/>
              <w:jc w:val="center"/>
              <w:rPr>
                <w:color w:val="000000"/>
                <w:sz w:val="24"/>
                <w:szCs w:val="24"/>
              </w:rPr>
            </w:pPr>
            <w:r>
              <w:rPr>
                <w:rFonts w:hint="eastAsia"/>
                <w:b/>
                <w:bCs/>
                <w:color w:val="000000"/>
                <w:sz w:val="24"/>
                <w:szCs w:val="24"/>
              </w:rPr>
              <w:t>A</w:t>
            </w:r>
            <w:r>
              <w:rPr>
                <w:rFonts w:hint="eastAsia"/>
                <w:color w:val="000000"/>
                <w:sz w:val="24"/>
                <w:szCs w:val="24"/>
              </w:rPr>
              <w:t>/O</w:t>
            </w:r>
          </w:p>
        </w:tc>
      </w:tr>
    </w:tbl>
    <w:p w14:paraId="5D309823">
      <w:pPr>
        <w:spacing w:line="480" w:lineRule="exact"/>
        <w:rPr>
          <w:rFonts w:ascii="楷体_GB2312" w:hAnsi="Times New Roman" w:eastAsia="楷体_GB2312" w:cs="楷体_GB2312"/>
          <w:b/>
          <w:bCs/>
          <w:sz w:val="28"/>
          <w:szCs w:val="28"/>
        </w:rPr>
      </w:pPr>
      <w:r>
        <w:rPr>
          <w:rFonts w:hint="eastAsia"/>
          <w:color w:val="000000"/>
          <w:sz w:val="24"/>
          <w:szCs w:val="24"/>
        </w:rPr>
        <w:t>说明：</w:t>
      </w:r>
      <w:r>
        <w:rPr>
          <w:rFonts w:hint="eastAsia"/>
          <w:b/>
          <w:bCs/>
          <w:color w:val="000000"/>
          <w:sz w:val="24"/>
          <w:szCs w:val="24"/>
        </w:rPr>
        <w:t xml:space="preserve">A </w:t>
      </w:r>
      <w:r>
        <w:rPr>
          <w:rFonts w:hint="eastAsia"/>
          <w:color w:val="000000"/>
          <w:sz w:val="24"/>
          <w:szCs w:val="24"/>
        </w:rPr>
        <w:t>可接受  N 不建议使用</w:t>
      </w:r>
      <w:r>
        <w:rPr>
          <w:rFonts w:hint="eastAsia"/>
          <w:b/>
          <w:bCs/>
          <w:color w:val="000000"/>
          <w:sz w:val="24"/>
          <w:szCs w:val="24"/>
        </w:rPr>
        <w:t xml:space="preserve">  R </w:t>
      </w:r>
      <w:r>
        <w:rPr>
          <w:rFonts w:hint="eastAsia"/>
          <w:color w:val="000000"/>
          <w:sz w:val="24"/>
          <w:szCs w:val="24"/>
        </w:rPr>
        <w:t>建议使用  O 需参考相关资料再确认。</w:t>
      </w:r>
      <w:r>
        <w:rPr>
          <w:rFonts w:ascii="仿宋_GB2312" w:hAnsi="Times New Roman" w:eastAsia="仿宋_GB2312" w:cs="仿宋_GB2312"/>
          <w:color w:val="000000"/>
          <w:sz w:val="28"/>
          <w:szCs w:val="28"/>
        </w:rPr>
        <w:t xml:space="preserve">  </w:t>
      </w:r>
      <w:r>
        <w:rPr>
          <w:rFonts w:ascii="仿宋_GB2312" w:hAnsi="Times New Roman" w:eastAsia="仿宋_GB2312" w:cs="仿宋_GB2312"/>
          <w:sz w:val="28"/>
          <w:szCs w:val="28"/>
        </w:rPr>
        <w:t xml:space="preserve"> </w:t>
      </w:r>
    </w:p>
    <w:p w14:paraId="5C24EB8E">
      <w:pPr>
        <w:spacing w:line="480" w:lineRule="exact"/>
        <w:rPr>
          <w:rFonts w:hint="eastAsia" w:ascii="楷体_GB2312" w:hAnsi="Times New Roman" w:eastAsia="楷体_GB2312" w:cs="楷体_GB2312"/>
          <w:b/>
          <w:bCs/>
          <w:sz w:val="28"/>
          <w:szCs w:val="28"/>
        </w:rPr>
      </w:pPr>
    </w:p>
    <w:p w14:paraId="1868CC85">
      <w:pPr>
        <w:spacing w:line="480" w:lineRule="exact"/>
        <w:rPr>
          <w:rFonts w:hint="eastAsia" w:ascii="楷体_GB2312" w:hAnsi="Times New Roman" w:eastAsia="楷体_GB2312" w:cs="楷体_GB2312"/>
          <w:b/>
          <w:bCs/>
          <w:sz w:val="28"/>
          <w:szCs w:val="28"/>
        </w:rPr>
      </w:pPr>
    </w:p>
    <w:p w14:paraId="1625ECEF">
      <w:pPr>
        <w:spacing w:line="480" w:lineRule="exact"/>
        <w:rPr>
          <w:rFonts w:hint="eastAsia" w:ascii="楷体_GB2312" w:hAnsi="Times New Roman" w:eastAsia="楷体_GB2312" w:cs="楷体_GB2312"/>
          <w:b/>
          <w:bCs/>
          <w:sz w:val="28"/>
          <w:szCs w:val="28"/>
        </w:rPr>
      </w:pPr>
    </w:p>
    <w:p w14:paraId="13C1D1D5">
      <w:pPr>
        <w:spacing w:line="480" w:lineRule="exact"/>
        <w:rPr>
          <w:rFonts w:hint="eastAsia" w:ascii="楷体_GB2312" w:hAnsi="Times New Roman" w:eastAsia="楷体_GB2312" w:cs="楷体_GB2312"/>
          <w:b/>
          <w:bCs/>
          <w:sz w:val="28"/>
          <w:szCs w:val="28"/>
        </w:rPr>
      </w:pPr>
    </w:p>
    <w:p w14:paraId="3E7BB10A">
      <w:pPr>
        <w:spacing w:line="480" w:lineRule="exact"/>
        <w:rPr>
          <w:rFonts w:hint="eastAsia" w:ascii="楷体_GB2312" w:hAnsi="Times New Roman" w:eastAsia="楷体_GB2312" w:cs="楷体_GB2312"/>
          <w:b/>
          <w:bCs/>
          <w:sz w:val="28"/>
          <w:szCs w:val="28"/>
        </w:rPr>
      </w:pPr>
    </w:p>
    <w:p w14:paraId="6F999E1A">
      <w:pPr>
        <w:spacing w:line="480" w:lineRule="exact"/>
        <w:rPr>
          <w:rFonts w:hint="eastAsia" w:ascii="楷体_GB2312" w:hAnsi="Times New Roman" w:eastAsia="楷体_GB2312" w:cs="楷体_GB2312"/>
          <w:b/>
          <w:bCs/>
          <w:sz w:val="28"/>
          <w:szCs w:val="28"/>
        </w:rPr>
      </w:pPr>
    </w:p>
    <w:p w14:paraId="7142F0F4">
      <w:pPr>
        <w:spacing w:line="480" w:lineRule="exact"/>
        <w:rPr>
          <w:rFonts w:hint="eastAsia" w:ascii="楷体_GB2312" w:hAnsi="Times New Roman" w:eastAsia="楷体_GB2312" w:cs="楷体_GB2312"/>
          <w:b/>
          <w:bCs/>
          <w:sz w:val="28"/>
          <w:szCs w:val="28"/>
        </w:rPr>
      </w:pPr>
    </w:p>
    <w:p w14:paraId="737E11DF">
      <w:pPr>
        <w:spacing w:line="480" w:lineRule="exact"/>
        <w:rPr>
          <w:rFonts w:hint="eastAsia" w:ascii="楷体_GB2312" w:hAnsi="Times New Roman" w:eastAsia="楷体_GB2312" w:cs="楷体_GB2312"/>
          <w:b/>
          <w:bCs/>
          <w:sz w:val="28"/>
          <w:szCs w:val="28"/>
        </w:rPr>
      </w:pPr>
    </w:p>
    <w:p w14:paraId="74EC61F9">
      <w:pPr>
        <w:spacing w:line="480" w:lineRule="exact"/>
        <w:rPr>
          <w:rFonts w:ascii="仿宋_GB2312" w:hAnsi="Times New Roman" w:eastAsia="仿宋_GB2312" w:cs="仿宋_GB2312"/>
          <w:sz w:val="28"/>
          <w:szCs w:val="28"/>
        </w:rPr>
      </w:pPr>
      <w:r>
        <w:rPr>
          <w:rFonts w:hint="eastAsia" w:ascii="楷体_GB2312" w:hAnsi="Times New Roman" w:eastAsia="楷体_GB2312" w:cs="楷体_GB2312"/>
          <w:b/>
          <w:bCs/>
          <w:sz w:val="28"/>
          <w:szCs w:val="28"/>
        </w:rPr>
        <w:t>（三）部分不相容的危险废物见下表</w:t>
      </w:r>
    </w:p>
    <w:p w14:paraId="409B3224">
      <w:pPr>
        <w:spacing w:line="360" w:lineRule="auto"/>
        <w:jc w:val="left"/>
        <w:rPr>
          <w:rFonts w:ascii="宋体" w:hAnsi="宋体" w:cs="宋体"/>
          <w:sz w:val="24"/>
          <w:szCs w:val="24"/>
        </w:rPr>
      </w:pPr>
      <w:r>
        <w:rPr>
          <w:rFonts w:ascii="仿宋_GB2312" w:hAnsi="Times New Roman" w:eastAsia="仿宋_GB2312" w:cs="仿宋_GB2312"/>
          <w:sz w:val="28"/>
          <w:szCs w:val="28"/>
        </w:rPr>
        <w:t xml:space="preserve"> </w:t>
      </w:r>
      <w:r>
        <w:rPr>
          <w:rFonts w:hint="eastAsia" w:ascii="宋体" w:hAnsi="宋体" w:cs="宋体"/>
          <w:sz w:val="24"/>
          <w:szCs w:val="24"/>
        </w:rPr>
        <w:t xml:space="preserve">表二                 </w:t>
      </w:r>
      <w:r>
        <w:rPr>
          <w:rFonts w:hint="eastAsia" w:ascii="宋体" w:hAnsi="宋体" w:cs="宋体"/>
          <w:b/>
          <w:bCs/>
          <w:sz w:val="28"/>
          <w:szCs w:val="28"/>
        </w:rPr>
        <w:t xml:space="preserve"> 部分不相容的危险废物</w:t>
      </w:r>
    </w:p>
    <w:tbl>
      <w:tblPr>
        <w:tblStyle w:val="6"/>
        <w:tblpPr w:leftFromText="180" w:rightFromText="180" w:vertAnchor="text" w:horzAnchor="page" w:tblpX="1112" w:tblpY="254"/>
        <w:tblOverlap w:val="never"/>
        <w:tblW w:w="10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8"/>
        <w:gridCol w:w="2388"/>
        <w:gridCol w:w="5394"/>
      </w:tblGrid>
      <w:tr w14:paraId="44F95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06" w:type="dxa"/>
            <w:gridSpan w:val="2"/>
            <w:shd w:val="clear" w:color="auto" w:fill="auto"/>
            <w:vAlign w:val="center"/>
          </w:tcPr>
          <w:p w14:paraId="7E260318">
            <w:pPr>
              <w:snapToGrid w:val="0"/>
              <w:spacing w:line="420" w:lineRule="exact"/>
              <w:jc w:val="center"/>
              <w:rPr>
                <w:rFonts w:ascii="宋体" w:hAnsi="宋体" w:cs="宋体"/>
                <w:sz w:val="24"/>
                <w:szCs w:val="24"/>
              </w:rPr>
            </w:pPr>
            <w:r>
              <w:rPr>
                <w:rFonts w:hint="eastAsia" w:ascii="宋体" w:hAnsi="宋体" w:cs="宋体"/>
                <w:b/>
                <w:bCs/>
                <w:sz w:val="24"/>
                <w:szCs w:val="24"/>
              </w:rPr>
              <w:t>不相容危险废物</w:t>
            </w:r>
          </w:p>
        </w:tc>
        <w:tc>
          <w:tcPr>
            <w:tcW w:w="5394" w:type="dxa"/>
            <w:vMerge w:val="restart"/>
            <w:shd w:val="clear" w:color="auto" w:fill="auto"/>
            <w:vAlign w:val="center"/>
          </w:tcPr>
          <w:p w14:paraId="4164AEE7">
            <w:pPr>
              <w:snapToGrid w:val="0"/>
              <w:spacing w:line="420" w:lineRule="exact"/>
              <w:ind w:firstLine="723" w:firstLineChars="300"/>
              <w:jc w:val="left"/>
              <w:rPr>
                <w:rFonts w:ascii="宋体" w:hAnsi="宋体" w:cs="宋体"/>
                <w:sz w:val="24"/>
                <w:szCs w:val="24"/>
              </w:rPr>
            </w:pPr>
            <w:r>
              <w:rPr>
                <w:rFonts w:hint="eastAsia" w:ascii="宋体" w:hAnsi="宋体" w:cs="宋体"/>
                <w:b/>
                <w:bCs/>
                <w:sz w:val="24"/>
                <w:szCs w:val="24"/>
              </w:rPr>
              <w:t>混合时会产生的危险</w:t>
            </w:r>
          </w:p>
        </w:tc>
      </w:tr>
      <w:tr w14:paraId="59312F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8" w:type="dxa"/>
            <w:shd w:val="clear" w:color="auto" w:fill="auto"/>
            <w:vAlign w:val="center"/>
          </w:tcPr>
          <w:p w14:paraId="7379D930">
            <w:pPr>
              <w:snapToGrid w:val="0"/>
              <w:spacing w:line="420" w:lineRule="exact"/>
              <w:jc w:val="center"/>
              <w:rPr>
                <w:rFonts w:ascii="宋体" w:hAnsi="宋体" w:cs="宋体"/>
                <w:sz w:val="24"/>
                <w:szCs w:val="24"/>
              </w:rPr>
            </w:pPr>
            <w:r>
              <w:rPr>
                <w:rFonts w:hint="eastAsia" w:ascii="宋体" w:hAnsi="宋体" w:cs="宋体"/>
                <w:sz w:val="24"/>
                <w:szCs w:val="24"/>
              </w:rPr>
              <w:t>A</w:t>
            </w:r>
          </w:p>
        </w:tc>
        <w:tc>
          <w:tcPr>
            <w:tcW w:w="2388" w:type="dxa"/>
            <w:shd w:val="clear" w:color="auto" w:fill="auto"/>
            <w:vAlign w:val="center"/>
          </w:tcPr>
          <w:p w14:paraId="5431D468">
            <w:pPr>
              <w:snapToGrid w:val="0"/>
              <w:spacing w:line="420" w:lineRule="exact"/>
              <w:jc w:val="center"/>
              <w:rPr>
                <w:rFonts w:ascii="宋体" w:hAnsi="宋体" w:cs="宋体"/>
                <w:sz w:val="24"/>
                <w:szCs w:val="24"/>
              </w:rPr>
            </w:pPr>
            <w:r>
              <w:rPr>
                <w:rFonts w:hint="eastAsia" w:ascii="宋体" w:hAnsi="宋体" w:cs="宋体"/>
                <w:sz w:val="24"/>
                <w:szCs w:val="24"/>
              </w:rPr>
              <w:t>B</w:t>
            </w:r>
          </w:p>
        </w:tc>
        <w:tc>
          <w:tcPr>
            <w:tcW w:w="5394" w:type="dxa"/>
            <w:vMerge w:val="continue"/>
            <w:shd w:val="clear" w:color="auto" w:fill="auto"/>
            <w:vAlign w:val="center"/>
          </w:tcPr>
          <w:p w14:paraId="718E1B43">
            <w:pPr>
              <w:snapToGrid w:val="0"/>
              <w:spacing w:line="420" w:lineRule="exact"/>
              <w:jc w:val="left"/>
              <w:rPr>
                <w:rFonts w:ascii="宋体" w:hAnsi="宋体" w:cs="宋体"/>
                <w:sz w:val="24"/>
                <w:szCs w:val="24"/>
              </w:rPr>
            </w:pPr>
          </w:p>
        </w:tc>
      </w:tr>
      <w:tr w14:paraId="52F81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8" w:type="dxa"/>
            <w:shd w:val="clear" w:color="auto" w:fill="auto"/>
            <w:vAlign w:val="center"/>
          </w:tcPr>
          <w:p w14:paraId="63B720F2">
            <w:pPr>
              <w:snapToGrid w:val="0"/>
              <w:spacing w:line="420" w:lineRule="exact"/>
              <w:jc w:val="center"/>
              <w:rPr>
                <w:rFonts w:ascii="宋体" w:hAnsi="宋体" w:cs="宋体"/>
                <w:sz w:val="24"/>
                <w:szCs w:val="24"/>
              </w:rPr>
            </w:pPr>
            <w:r>
              <w:rPr>
                <w:rFonts w:hint="eastAsia" w:ascii="宋体" w:hAnsi="宋体" w:cs="宋体"/>
                <w:sz w:val="24"/>
                <w:szCs w:val="24"/>
              </w:rPr>
              <w:t>氰化物</w:t>
            </w:r>
          </w:p>
        </w:tc>
        <w:tc>
          <w:tcPr>
            <w:tcW w:w="2388" w:type="dxa"/>
            <w:shd w:val="clear" w:color="auto" w:fill="auto"/>
            <w:vAlign w:val="center"/>
          </w:tcPr>
          <w:p w14:paraId="7CA46E84">
            <w:pPr>
              <w:snapToGrid w:val="0"/>
              <w:spacing w:line="420" w:lineRule="exact"/>
              <w:jc w:val="center"/>
              <w:rPr>
                <w:rFonts w:ascii="宋体" w:hAnsi="宋体" w:cs="宋体"/>
                <w:sz w:val="24"/>
                <w:szCs w:val="24"/>
              </w:rPr>
            </w:pPr>
            <w:r>
              <w:rPr>
                <w:rFonts w:hint="eastAsia" w:ascii="宋体" w:hAnsi="宋体" w:cs="宋体"/>
                <w:sz w:val="24"/>
                <w:szCs w:val="24"/>
              </w:rPr>
              <w:t>酸类、非氧化</w:t>
            </w:r>
          </w:p>
        </w:tc>
        <w:tc>
          <w:tcPr>
            <w:tcW w:w="5394" w:type="dxa"/>
            <w:shd w:val="clear" w:color="auto" w:fill="auto"/>
            <w:vAlign w:val="center"/>
          </w:tcPr>
          <w:p w14:paraId="7BA1B258">
            <w:pPr>
              <w:snapToGrid w:val="0"/>
              <w:spacing w:line="420" w:lineRule="exact"/>
              <w:jc w:val="left"/>
              <w:rPr>
                <w:rFonts w:ascii="宋体" w:hAnsi="宋体" w:cs="宋体"/>
                <w:sz w:val="24"/>
                <w:szCs w:val="24"/>
              </w:rPr>
            </w:pPr>
            <w:r>
              <w:rPr>
                <w:rFonts w:hint="eastAsia" w:ascii="宋体" w:hAnsi="宋体" w:cs="宋体"/>
                <w:sz w:val="24"/>
                <w:szCs w:val="24"/>
              </w:rPr>
              <w:t>产生氰化氢，吸入少量可能会致命</w:t>
            </w:r>
          </w:p>
        </w:tc>
      </w:tr>
      <w:tr w14:paraId="4E4D05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8" w:type="dxa"/>
            <w:shd w:val="clear" w:color="auto" w:fill="auto"/>
            <w:vAlign w:val="center"/>
          </w:tcPr>
          <w:p w14:paraId="346A9660">
            <w:pPr>
              <w:snapToGrid w:val="0"/>
              <w:spacing w:line="420" w:lineRule="exact"/>
              <w:jc w:val="center"/>
              <w:rPr>
                <w:rFonts w:ascii="宋体" w:hAnsi="宋体" w:cs="宋体"/>
                <w:sz w:val="24"/>
                <w:szCs w:val="24"/>
              </w:rPr>
            </w:pPr>
            <w:r>
              <w:rPr>
                <w:rFonts w:hint="eastAsia" w:ascii="宋体" w:hAnsi="宋体" w:cs="宋体"/>
                <w:sz w:val="24"/>
                <w:szCs w:val="24"/>
              </w:rPr>
              <w:t>次氯酸盐</w:t>
            </w:r>
          </w:p>
        </w:tc>
        <w:tc>
          <w:tcPr>
            <w:tcW w:w="2388" w:type="dxa"/>
            <w:shd w:val="clear" w:color="auto" w:fill="auto"/>
            <w:vAlign w:val="center"/>
          </w:tcPr>
          <w:p w14:paraId="33CED992">
            <w:pPr>
              <w:snapToGrid w:val="0"/>
              <w:spacing w:line="420" w:lineRule="exact"/>
              <w:jc w:val="center"/>
              <w:rPr>
                <w:rFonts w:ascii="宋体" w:hAnsi="宋体" w:cs="宋体"/>
                <w:sz w:val="24"/>
                <w:szCs w:val="24"/>
              </w:rPr>
            </w:pPr>
            <w:r>
              <w:rPr>
                <w:rFonts w:hint="eastAsia" w:ascii="宋体" w:hAnsi="宋体" w:cs="宋体"/>
                <w:sz w:val="24"/>
                <w:szCs w:val="24"/>
              </w:rPr>
              <w:t>酸类、非氧化</w:t>
            </w:r>
          </w:p>
        </w:tc>
        <w:tc>
          <w:tcPr>
            <w:tcW w:w="5394" w:type="dxa"/>
            <w:shd w:val="clear" w:color="auto" w:fill="auto"/>
            <w:vAlign w:val="center"/>
          </w:tcPr>
          <w:p w14:paraId="7AA8F73D">
            <w:pPr>
              <w:snapToGrid w:val="0"/>
              <w:spacing w:line="420" w:lineRule="exact"/>
              <w:jc w:val="left"/>
              <w:rPr>
                <w:rFonts w:ascii="宋体" w:hAnsi="宋体" w:cs="宋体"/>
                <w:sz w:val="24"/>
                <w:szCs w:val="24"/>
              </w:rPr>
            </w:pPr>
            <w:r>
              <w:rPr>
                <w:rFonts w:hint="eastAsia" w:ascii="宋体" w:hAnsi="宋体" w:cs="宋体"/>
                <w:sz w:val="24"/>
                <w:szCs w:val="24"/>
              </w:rPr>
              <w:t>产生氯气、吸入可能会致命</w:t>
            </w:r>
          </w:p>
        </w:tc>
      </w:tr>
      <w:tr w14:paraId="05D21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8" w:type="dxa"/>
            <w:shd w:val="clear" w:color="auto" w:fill="auto"/>
            <w:vAlign w:val="center"/>
          </w:tcPr>
          <w:p w14:paraId="5746E069">
            <w:pPr>
              <w:snapToGrid w:val="0"/>
              <w:spacing w:line="420" w:lineRule="exact"/>
              <w:jc w:val="center"/>
              <w:rPr>
                <w:rFonts w:ascii="宋体" w:hAnsi="宋体" w:cs="宋体"/>
                <w:sz w:val="24"/>
                <w:szCs w:val="24"/>
              </w:rPr>
            </w:pPr>
            <w:r>
              <w:rPr>
                <w:rFonts w:hint="eastAsia" w:ascii="宋体" w:hAnsi="宋体" w:cs="宋体"/>
                <w:sz w:val="24"/>
                <w:szCs w:val="24"/>
              </w:rPr>
              <w:t>铜、铬及多种重金属</w:t>
            </w:r>
          </w:p>
        </w:tc>
        <w:tc>
          <w:tcPr>
            <w:tcW w:w="2388" w:type="dxa"/>
            <w:shd w:val="clear" w:color="auto" w:fill="auto"/>
            <w:vAlign w:val="center"/>
          </w:tcPr>
          <w:p w14:paraId="5F216CBB">
            <w:pPr>
              <w:snapToGrid w:val="0"/>
              <w:spacing w:line="420" w:lineRule="exact"/>
              <w:jc w:val="center"/>
              <w:rPr>
                <w:rFonts w:ascii="宋体" w:hAnsi="宋体" w:cs="宋体"/>
                <w:sz w:val="24"/>
                <w:szCs w:val="24"/>
              </w:rPr>
            </w:pPr>
            <w:r>
              <w:rPr>
                <w:rFonts w:hint="eastAsia" w:ascii="宋体" w:hAnsi="宋体" w:cs="宋体"/>
                <w:sz w:val="24"/>
                <w:szCs w:val="24"/>
              </w:rPr>
              <w:t>酸类、氧化，如硝酸</w:t>
            </w:r>
          </w:p>
        </w:tc>
        <w:tc>
          <w:tcPr>
            <w:tcW w:w="5394" w:type="dxa"/>
            <w:shd w:val="clear" w:color="auto" w:fill="auto"/>
            <w:vAlign w:val="center"/>
          </w:tcPr>
          <w:p w14:paraId="108954CE">
            <w:pPr>
              <w:snapToGrid w:val="0"/>
              <w:spacing w:line="420" w:lineRule="exact"/>
              <w:jc w:val="left"/>
              <w:rPr>
                <w:rFonts w:ascii="宋体" w:hAnsi="宋体" w:cs="宋体"/>
                <w:sz w:val="24"/>
                <w:szCs w:val="24"/>
              </w:rPr>
            </w:pPr>
            <w:r>
              <w:rPr>
                <w:rFonts w:hint="eastAsia" w:ascii="宋体" w:hAnsi="宋体" w:cs="宋体"/>
                <w:sz w:val="24"/>
                <w:szCs w:val="24"/>
              </w:rPr>
              <w:t>产生二氧化氮、亚硝酸烟，刺激眼目及烧伤皮肤</w:t>
            </w:r>
          </w:p>
        </w:tc>
      </w:tr>
      <w:tr w14:paraId="0F2EC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8" w:type="dxa"/>
            <w:shd w:val="clear" w:color="auto" w:fill="auto"/>
            <w:vAlign w:val="center"/>
          </w:tcPr>
          <w:p w14:paraId="26978C1B">
            <w:pPr>
              <w:snapToGrid w:val="0"/>
              <w:spacing w:line="420" w:lineRule="exact"/>
              <w:jc w:val="center"/>
              <w:rPr>
                <w:rFonts w:ascii="宋体" w:hAnsi="宋体" w:cs="宋体"/>
                <w:sz w:val="24"/>
                <w:szCs w:val="24"/>
              </w:rPr>
            </w:pPr>
            <w:r>
              <w:rPr>
                <w:rFonts w:hint="eastAsia" w:ascii="宋体" w:hAnsi="宋体" w:cs="宋体"/>
                <w:sz w:val="24"/>
                <w:szCs w:val="24"/>
              </w:rPr>
              <w:t>强酸</w:t>
            </w:r>
          </w:p>
        </w:tc>
        <w:tc>
          <w:tcPr>
            <w:tcW w:w="2388" w:type="dxa"/>
            <w:shd w:val="clear" w:color="auto" w:fill="auto"/>
            <w:vAlign w:val="center"/>
          </w:tcPr>
          <w:p w14:paraId="0F6C4067">
            <w:pPr>
              <w:snapToGrid w:val="0"/>
              <w:spacing w:line="420" w:lineRule="exact"/>
              <w:jc w:val="center"/>
              <w:rPr>
                <w:rFonts w:ascii="宋体" w:hAnsi="宋体" w:cs="宋体"/>
                <w:sz w:val="24"/>
                <w:szCs w:val="24"/>
              </w:rPr>
            </w:pPr>
            <w:r>
              <w:rPr>
                <w:rFonts w:hint="eastAsia" w:ascii="宋体" w:hAnsi="宋体" w:cs="宋体"/>
                <w:sz w:val="24"/>
                <w:szCs w:val="24"/>
              </w:rPr>
              <w:t>强碱</w:t>
            </w:r>
          </w:p>
        </w:tc>
        <w:tc>
          <w:tcPr>
            <w:tcW w:w="5394" w:type="dxa"/>
            <w:shd w:val="clear" w:color="auto" w:fill="auto"/>
            <w:vAlign w:val="center"/>
          </w:tcPr>
          <w:p w14:paraId="6790A556">
            <w:pPr>
              <w:snapToGrid w:val="0"/>
              <w:spacing w:line="420" w:lineRule="exact"/>
              <w:jc w:val="left"/>
              <w:rPr>
                <w:rFonts w:ascii="宋体" w:hAnsi="宋体" w:cs="宋体"/>
                <w:sz w:val="24"/>
                <w:szCs w:val="24"/>
              </w:rPr>
            </w:pPr>
            <w:r>
              <w:rPr>
                <w:rFonts w:hint="eastAsia" w:ascii="宋体" w:hAnsi="宋体" w:cs="宋体"/>
                <w:sz w:val="24"/>
                <w:szCs w:val="24"/>
              </w:rPr>
              <w:t>可能引起爆炸性的反应及产生热能</w:t>
            </w:r>
          </w:p>
        </w:tc>
      </w:tr>
      <w:tr w14:paraId="0A0299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8" w:type="dxa"/>
            <w:shd w:val="clear" w:color="auto" w:fill="auto"/>
            <w:vAlign w:val="center"/>
          </w:tcPr>
          <w:p w14:paraId="17D03BA7">
            <w:pPr>
              <w:snapToGrid w:val="0"/>
              <w:spacing w:line="420" w:lineRule="exact"/>
              <w:jc w:val="center"/>
              <w:rPr>
                <w:rFonts w:ascii="宋体" w:hAnsi="宋体" w:cs="宋体"/>
                <w:sz w:val="24"/>
                <w:szCs w:val="24"/>
              </w:rPr>
            </w:pPr>
            <w:r>
              <w:rPr>
                <w:rFonts w:hint="eastAsia" w:ascii="宋体" w:hAnsi="宋体" w:cs="宋体"/>
                <w:sz w:val="24"/>
                <w:szCs w:val="24"/>
              </w:rPr>
              <w:t>铵盐</w:t>
            </w:r>
          </w:p>
        </w:tc>
        <w:tc>
          <w:tcPr>
            <w:tcW w:w="2388" w:type="dxa"/>
            <w:shd w:val="clear" w:color="auto" w:fill="auto"/>
            <w:vAlign w:val="center"/>
          </w:tcPr>
          <w:p w14:paraId="11854A47">
            <w:pPr>
              <w:snapToGrid w:val="0"/>
              <w:spacing w:line="420" w:lineRule="exact"/>
              <w:jc w:val="center"/>
              <w:rPr>
                <w:rFonts w:ascii="宋体" w:hAnsi="宋体" w:cs="宋体"/>
                <w:sz w:val="24"/>
                <w:szCs w:val="24"/>
              </w:rPr>
            </w:pPr>
            <w:r>
              <w:rPr>
                <w:rFonts w:hint="eastAsia" w:ascii="宋体" w:hAnsi="宋体" w:cs="宋体"/>
                <w:sz w:val="24"/>
                <w:szCs w:val="24"/>
              </w:rPr>
              <w:t>强碱</w:t>
            </w:r>
          </w:p>
        </w:tc>
        <w:tc>
          <w:tcPr>
            <w:tcW w:w="5394" w:type="dxa"/>
            <w:shd w:val="clear" w:color="auto" w:fill="auto"/>
            <w:vAlign w:val="center"/>
          </w:tcPr>
          <w:p w14:paraId="4EF4BDDE">
            <w:pPr>
              <w:snapToGrid w:val="0"/>
              <w:spacing w:line="420" w:lineRule="exact"/>
              <w:jc w:val="left"/>
              <w:rPr>
                <w:rFonts w:ascii="宋体" w:hAnsi="宋体" w:cs="宋体"/>
                <w:sz w:val="24"/>
                <w:szCs w:val="24"/>
              </w:rPr>
            </w:pPr>
            <w:r>
              <w:rPr>
                <w:rFonts w:hint="eastAsia" w:ascii="宋体" w:hAnsi="宋体" w:cs="宋体"/>
                <w:sz w:val="24"/>
                <w:szCs w:val="24"/>
              </w:rPr>
              <w:t>产生氨气，吸入会刺激眼目和呼吸道</w:t>
            </w:r>
          </w:p>
        </w:tc>
      </w:tr>
      <w:tr w14:paraId="47F69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8" w:type="dxa"/>
            <w:shd w:val="clear" w:color="auto" w:fill="auto"/>
            <w:vAlign w:val="center"/>
          </w:tcPr>
          <w:p w14:paraId="3013383D">
            <w:pPr>
              <w:snapToGrid w:val="0"/>
              <w:spacing w:line="420" w:lineRule="exact"/>
              <w:jc w:val="center"/>
              <w:rPr>
                <w:rFonts w:ascii="宋体" w:hAnsi="宋体" w:cs="宋体"/>
                <w:sz w:val="24"/>
                <w:szCs w:val="24"/>
              </w:rPr>
            </w:pPr>
            <w:r>
              <w:rPr>
                <w:rFonts w:hint="eastAsia" w:ascii="宋体" w:hAnsi="宋体" w:cs="宋体"/>
                <w:sz w:val="24"/>
                <w:szCs w:val="24"/>
              </w:rPr>
              <w:t>氧化剂</w:t>
            </w:r>
          </w:p>
        </w:tc>
        <w:tc>
          <w:tcPr>
            <w:tcW w:w="2388" w:type="dxa"/>
            <w:shd w:val="clear" w:color="auto" w:fill="auto"/>
            <w:vAlign w:val="center"/>
          </w:tcPr>
          <w:p w14:paraId="29F71DA2">
            <w:pPr>
              <w:snapToGrid w:val="0"/>
              <w:spacing w:line="420" w:lineRule="exact"/>
              <w:jc w:val="center"/>
              <w:rPr>
                <w:rFonts w:ascii="宋体" w:hAnsi="宋体" w:cs="宋体"/>
                <w:sz w:val="24"/>
                <w:szCs w:val="24"/>
              </w:rPr>
            </w:pPr>
            <w:r>
              <w:rPr>
                <w:rFonts w:hint="eastAsia" w:ascii="宋体" w:hAnsi="宋体" w:cs="宋体"/>
                <w:sz w:val="24"/>
                <w:szCs w:val="24"/>
              </w:rPr>
              <w:t>还原剂</w:t>
            </w:r>
          </w:p>
        </w:tc>
        <w:tc>
          <w:tcPr>
            <w:tcW w:w="5394" w:type="dxa"/>
            <w:shd w:val="clear" w:color="auto" w:fill="auto"/>
            <w:vAlign w:val="center"/>
          </w:tcPr>
          <w:p w14:paraId="4E2AD0D4">
            <w:pPr>
              <w:snapToGrid w:val="0"/>
              <w:spacing w:line="420" w:lineRule="exact"/>
              <w:jc w:val="left"/>
              <w:rPr>
                <w:rFonts w:ascii="宋体" w:hAnsi="宋体" w:cs="宋体"/>
                <w:sz w:val="24"/>
                <w:szCs w:val="24"/>
              </w:rPr>
            </w:pPr>
            <w:r>
              <w:rPr>
                <w:rFonts w:hint="eastAsia" w:ascii="宋体" w:hAnsi="宋体" w:cs="宋体"/>
                <w:sz w:val="24"/>
                <w:szCs w:val="24"/>
              </w:rPr>
              <w:t>可能引起强烈及爆炸性的反应及产生热能。</w:t>
            </w:r>
          </w:p>
        </w:tc>
      </w:tr>
    </w:tbl>
    <w:p w14:paraId="2FA716F0">
      <w:pPr>
        <w:spacing w:line="480" w:lineRule="exact"/>
        <w:rPr>
          <w:rFonts w:ascii="仿宋_GB2312" w:hAnsi="Times New Roman" w:eastAsia="仿宋_GB2312" w:cs="Times New Roman"/>
          <w:sz w:val="28"/>
          <w:szCs w:val="28"/>
        </w:rPr>
      </w:pPr>
      <w:r>
        <w:rPr>
          <w:rFonts w:ascii="仿宋_GB2312" w:hAnsi="Times New Roman" w:eastAsia="仿宋_GB2312" w:cs="仿宋_GB2312"/>
          <w:sz w:val="28"/>
          <w:szCs w:val="28"/>
        </w:rPr>
        <w:t xml:space="preserve">     </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2294C58A-5320-470F-9EE1-4351F05561DA}"/>
  </w:font>
  <w:font w:name="黑体">
    <w:panose1 w:val="02010609060101010101"/>
    <w:charset w:val="86"/>
    <w:family w:val="auto"/>
    <w:pitch w:val="default"/>
    <w:sig w:usb0="800002BF" w:usb1="38CF7CFA" w:usb2="00000016" w:usb3="00000000" w:csb0="00040001" w:csb1="00000000"/>
    <w:embedRegular r:id="rId2" w:fontKey="{2CF5033E-26BC-4945-AD58-CF15055712DB}"/>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3" w:fontKey="{67AA03C7-B504-4F5A-AC4F-3ABD2284B4FD}"/>
  </w:font>
  <w:font w:name="方正小标宋简体">
    <w:panose1 w:val="02000000000000000000"/>
    <w:charset w:val="86"/>
    <w:family w:val="auto"/>
    <w:pitch w:val="default"/>
    <w:sig w:usb0="00000001" w:usb1="08000000" w:usb2="00000000" w:usb3="00000000" w:csb0="00040000" w:csb1="00000000"/>
    <w:embedRegular r:id="rId4" w:fontKey="{B03E7371-98BE-465C-B73B-483302581260}"/>
  </w:font>
  <w:font w:name="仿宋_GB2312">
    <w:panose1 w:val="02010609030101010101"/>
    <w:charset w:val="86"/>
    <w:family w:val="modern"/>
    <w:pitch w:val="default"/>
    <w:sig w:usb0="00000001" w:usb1="080E0000" w:usb2="00000000" w:usb3="00000000" w:csb0="00040000" w:csb1="00000000"/>
    <w:embedRegular r:id="rId5" w:fontKey="{98FAECE2-5266-4BCC-986F-4570704F4ED4}"/>
  </w:font>
  <w:font w:name="楷体_GB2312">
    <w:altName w:val="楷体"/>
    <w:panose1 w:val="00000000000000000000"/>
    <w:charset w:val="86"/>
    <w:family w:val="modern"/>
    <w:pitch w:val="default"/>
    <w:sig w:usb0="00000000" w:usb1="00000000" w:usb2="00000010" w:usb3="00000000" w:csb0="00040000" w:csb1="00000000"/>
    <w:embedRegular r:id="rId6" w:fontKey="{DDEFD210-C249-4308-BD22-E497DD6BC24B}"/>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7F3C6C2"/>
    <w:multiLevelType w:val="singleLevel"/>
    <w:tmpl w:val="B7F3C6C2"/>
    <w:lvl w:ilvl="0" w:tentative="0">
      <w:start w:val="1"/>
      <w:numFmt w:val="chineseCounting"/>
      <w:suff w:val="space"/>
      <w:lvlText w:val="第%1条"/>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isplayBackgroundShape w:val="1"/>
  <w:embedTrueTypeFonts/>
  <w:saveSubsetFonts/>
  <w:bordersDoNotSurroundHeader w:val="1"/>
  <w:bordersDoNotSurroundFooter w:val="1"/>
  <w:doNotTrackMoves/>
  <w:documentProtection w:enforcement="0"/>
  <w:defaultTabStop w:val="420"/>
  <w:doNotHyphenateCaps/>
  <w:drawingGridVerticalSpacing w:val="156"/>
  <w:noPunctuationKerning w:val="1"/>
  <w:characterSpacingControl w:val="compressPunctuation"/>
  <w:noLineBreaksAfter w:lang="zh-CN" w:val="$([{£¥·‘“〈《「『【〔〖〝﹙﹛﹝＄（．［｛￡￥"/>
  <w:noLineBreaksBefore w:lang="zh-CN" w:val="!%),.:;&gt;?]}¢¨°·ˇˉ―‖’”…‰′″›℃∶、。〃〉》」』】〕〗〞︶︺︾﹀﹄﹚﹜﹞！＂％＇），．：；？］｀｜｝～￠"/>
  <w:doNotValidateAgainstSchema/>
  <w:doNotDemarcateInvalidXml/>
  <w:compat>
    <w:spaceForUL/>
    <w:balanceSingleByteDoubleByteWidth/>
    <w:doNotLeaveBackslashAlone/>
    <w:ulTrailSpac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NTMyNzJhMmRiODE1YmRhZTIxZTAzNTc2MGYyYWY4ZGMifQ=="/>
    <w:docVar w:name="KY_MEDREF_DOCUID" w:val="{07C7E287-7DC3-4FA3-8536-5D166AF8DE60}"/>
    <w:docVar w:name="KY_MEDREF_VERSION" w:val="3"/>
  </w:docVars>
  <w:rsids>
    <w:rsidRoot w:val="00DA0C62"/>
    <w:rsid w:val="00074556"/>
    <w:rsid w:val="00082E4C"/>
    <w:rsid w:val="0009568D"/>
    <w:rsid w:val="000B7298"/>
    <w:rsid w:val="000E3747"/>
    <w:rsid w:val="001013C7"/>
    <w:rsid w:val="00104342"/>
    <w:rsid w:val="00120FF1"/>
    <w:rsid w:val="00171E3A"/>
    <w:rsid w:val="00174208"/>
    <w:rsid w:val="001F57AA"/>
    <w:rsid w:val="002D451C"/>
    <w:rsid w:val="00301916"/>
    <w:rsid w:val="00375DF5"/>
    <w:rsid w:val="0038242A"/>
    <w:rsid w:val="00396AAD"/>
    <w:rsid w:val="003F248E"/>
    <w:rsid w:val="004510CE"/>
    <w:rsid w:val="004C4BEC"/>
    <w:rsid w:val="00531B2A"/>
    <w:rsid w:val="00545FAD"/>
    <w:rsid w:val="00553C1A"/>
    <w:rsid w:val="00567DBE"/>
    <w:rsid w:val="00580B47"/>
    <w:rsid w:val="005A3DB2"/>
    <w:rsid w:val="005D7ADD"/>
    <w:rsid w:val="005F15CF"/>
    <w:rsid w:val="00607DC6"/>
    <w:rsid w:val="00685277"/>
    <w:rsid w:val="006927F2"/>
    <w:rsid w:val="006C44AF"/>
    <w:rsid w:val="00714BDC"/>
    <w:rsid w:val="00792F38"/>
    <w:rsid w:val="0079322E"/>
    <w:rsid w:val="007A7D2D"/>
    <w:rsid w:val="007C7D54"/>
    <w:rsid w:val="008B3FA7"/>
    <w:rsid w:val="008B7D1A"/>
    <w:rsid w:val="008C1898"/>
    <w:rsid w:val="008D7CD9"/>
    <w:rsid w:val="00AA4981"/>
    <w:rsid w:val="00AD1D04"/>
    <w:rsid w:val="00AD53BE"/>
    <w:rsid w:val="00B0115D"/>
    <w:rsid w:val="00B87104"/>
    <w:rsid w:val="00B872C1"/>
    <w:rsid w:val="00BD3CF8"/>
    <w:rsid w:val="00C32D93"/>
    <w:rsid w:val="00C419E1"/>
    <w:rsid w:val="00C42A64"/>
    <w:rsid w:val="00CB2D21"/>
    <w:rsid w:val="00D80D39"/>
    <w:rsid w:val="00DA0C62"/>
    <w:rsid w:val="00E249ED"/>
    <w:rsid w:val="00EB3343"/>
    <w:rsid w:val="00EB71E7"/>
    <w:rsid w:val="00F1465F"/>
    <w:rsid w:val="00F95A61"/>
    <w:rsid w:val="013023C5"/>
    <w:rsid w:val="08777616"/>
    <w:rsid w:val="0AD72DF4"/>
    <w:rsid w:val="147439D7"/>
    <w:rsid w:val="190B0397"/>
    <w:rsid w:val="1C9B29FC"/>
    <w:rsid w:val="22650C3B"/>
    <w:rsid w:val="26004212"/>
    <w:rsid w:val="26BB20B8"/>
    <w:rsid w:val="2C316DB3"/>
    <w:rsid w:val="2D3D1FB9"/>
    <w:rsid w:val="2EC23B73"/>
    <w:rsid w:val="35A055AA"/>
    <w:rsid w:val="35B415E4"/>
    <w:rsid w:val="36874AB4"/>
    <w:rsid w:val="422B2070"/>
    <w:rsid w:val="46E91DED"/>
    <w:rsid w:val="4AF51243"/>
    <w:rsid w:val="4D854E31"/>
    <w:rsid w:val="54143B54"/>
    <w:rsid w:val="54160BC3"/>
    <w:rsid w:val="5ACC4499"/>
    <w:rsid w:val="5BDE467E"/>
    <w:rsid w:val="5E52548D"/>
    <w:rsid w:val="5EC11B44"/>
    <w:rsid w:val="63C943D5"/>
    <w:rsid w:val="68344EC4"/>
    <w:rsid w:val="74997C4E"/>
    <w:rsid w:val="791409FF"/>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uiPriority="99" w:name="annotation text"/>
    <w:lsdException w:qFormat="1" w:unhideWhenUsed="0" w:uiPriority="99" w:name="header"/>
    <w:lsdException w:qFormat="1" w:unhideWhenUsed="0" w:uiPriority="99"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name="Balloon Text"/>
    <w:lsdException w:qFormat="1" w:unhideWhenUsed="0" w:uiPriority="59" w:semiHidden="0" w:name="Table Grid" w:locked="1"/>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Calibri"/>
      <w:kern w:val="2"/>
      <w:sz w:val="21"/>
      <w:szCs w:val="21"/>
      <w:lang w:val="en-US" w:eastAsia="zh-CN" w:bidi="ar-SA"/>
    </w:rPr>
  </w:style>
  <w:style w:type="character" w:default="1" w:styleId="8">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semiHidden/>
    <w:qFormat/>
    <w:uiPriority w:val="99"/>
    <w:rPr>
      <w:sz w:val="18"/>
      <w:szCs w:val="18"/>
    </w:rPr>
  </w:style>
  <w:style w:type="paragraph" w:styleId="3">
    <w:name w:val="footer"/>
    <w:basedOn w:val="1"/>
    <w:link w:val="10"/>
    <w:semiHidden/>
    <w:qFormat/>
    <w:uiPriority w:val="99"/>
    <w:pPr>
      <w:tabs>
        <w:tab w:val="center" w:pos="4153"/>
        <w:tab w:val="right" w:pos="8306"/>
      </w:tabs>
      <w:snapToGrid w:val="0"/>
      <w:jc w:val="left"/>
    </w:pPr>
    <w:rPr>
      <w:sz w:val="18"/>
      <w:szCs w:val="18"/>
    </w:rPr>
  </w:style>
  <w:style w:type="paragraph" w:styleId="4">
    <w:name w:val="header"/>
    <w:basedOn w:val="1"/>
    <w:link w:val="9"/>
    <w:semiHidden/>
    <w:qFormat/>
    <w:uiPriority w:val="99"/>
    <w:pPr>
      <w:pBdr>
        <w:bottom w:val="single" w:color="auto" w:sz="6" w:space="1"/>
      </w:pBdr>
      <w:tabs>
        <w:tab w:val="center" w:pos="4153"/>
        <w:tab w:val="right" w:pos="8306"/>
      </w:tabs>
      <w:snapToGrid w:val="0"/>
      <w:jc w:val="center"/>
    </w:pPr>
    <w:rPr>
      <w:sz w:val="18"/>
      <w:szCs w:val="18"/>
    </w:rPr>
  </w:style>
  <w:style w:type="paragraph" w:styleId="5">
    <w:name w:val="Normal (Web)"/>
    <w:basedOn w:val="1"/>
    <w:semiHidden/>
    <w:unhideWhenUsed/>
    <w:qFormat/>
    <w:uiPriority w:val="99"/>
    <w:pPr>
      <w:widowControl/>
      <w:spacing w:before="100" w:beforeAutospacing="1" w:after="100" w:afterAutospacing="1"/>
      <w:jc w:val="left"/>
    </w:pPr>
    <w:rPr>
      <w:rFonts w:ascii="宋体" w:hAnsi="宋体" w:cs="宋体"/>
      <w:kern w:val="0"/>
      <w:sz w:val="24"/>
      <w:szCs w:val="24"/>
    </w:rPr>
  </w:style>
  <w:style w:type="table" w:styleId="7">
    <w:name w:val="Table Grid"/>
    <w:basedOn w:val="6"/>
    <w:qFormat/>
    <w:locked/>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9">
    <w:name w:val="页眉 字符"/>
    <w:link w:val="4"/>
    <w:semiHidden/>
    <w:qFormat/>
    <w:locked/>
    <w:uiPriority w:val="99"/>
    <w:rPr>
      <w:sz w:val="18"/>
      <w:szCs w:val="18"/>
    </w:rPr>
  </w:style>
  <w:style w:type="character" w:customStyle="1" w:styleId="10">
    <w:name w:val="页脚 字符"/>
    <w:link w:val="3"/>
    <w:semiHidden/>
    <w:qFormat/>
    <w:locked/>
    <w:uiPriority w:val="99"/>
    <w:rPr>
      <w:sz w:val="18"/>
      <w:szCs w:val="18"/>
    </w:rPr>
  </w:style>
  <w:style w:type="character" w:customStyle="1" w:styleId="11">
    <w:name w:val="批注框文本 字符"/>
    <w:link w:val="2"/>
    <w:semiHidden/>
    <w:qFormat/>
    <w:locked/>
    <w:uiPriority w:val="99"/>
    <w:rPr>
      <w:sz w:val="2"/>
      <w:szCs w:val="2"/>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image" Target="media/image2.pn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P R C</Company>
  <Pages>6</Pages>
  <Words>2396</Words>
  <Characters>2585</Characters>
  <Lines>23</Lines>
  <Paragraphs>6</Paragraphs>
  <TotalTime>16</TotalTime>
  <ScaleCrop>false</ScaleCrop>
  <LinksUpToDate>false</LinksUpToDate>
  <CharactersWithSpaces>2664</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2016-06-16T02:33:00Z</dcterms:created>
  <dc:creator>Windows User</dc:creator>
  <cp:lastModifiedBy>zombies  rice</cp:lastModifiedBy>
  <cp:lastPrinted>2018-11-30T03:25:00Z</cp:lastPrinted>
  <dcterms:modified xsi:type="dcterms:W3CDTF">2024-10-18T07:07:18Z</dcterms:modified>
  <dc:title>实验室危险化学品废弃物回收处置注意事项</dc:title>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CF2961AF4B574D5CB3E9A0F6BC66D173_12</vt:lpwstr>
  </property>
</Properties>
</file>