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3A4E9">
      <w:pPr>
        <w:spacing w:before="156" w:beforeLines="50" w:after="156" w:afterLines="50" w:line="500" w:lineRule="exact"/>
        <w:jc w:val="center"/>
        <w:rPr>
          <w:rFonts w:ascii="黑体" w:hAnsi="黑体" w:eastAsia="黑体"/>
          <w:b/>
          <w:sz w:val="44"/>
          <w:szCs w:val="44"/>
        </w:rPr>
      </w:pPr>
      <w:r>
        <w:rPr>
          <w:rFonts w:hint="eastAsia" w:ascii="黑体" w:hAnsi="黑体" w:eastAsia="黑体"/>
          <w:b/>
          <w:sz w:val="44"/>
          <w:szCs w:val="44"/>
          <w:lang w:val="en-US" w:eastAsia="zh-CN"/>
        </w:rPr>
        <w:t>实验室与设备管理</w:t>
      </w:r>
      <w:r>
        <w:rPr>
          <w:rFonts w:hint="eastAsia" w:ascii="黑体" w:hAnsi="黑体" w:eastAsia="黑体"/>
          <w:b/>
          <w:sz w:val="44"/>
          <w:szCs w:val="44"/>
        </w:rPr>
        <w:t>处负面清单</w:t>
      </w:r>
    </w:p>
    <w:tbl>
      <w:tblPr>
        <w:tblStyle w:val="5"/>
        <w:tblW w:w="10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3544"/>
        <w:gridCol w:w="3407"/>
        <w:gridCol w:w="2239"/>
      </w:tblGrid>
      <w:tr w14:paraId="1F1C7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846" w:type="dxa"/>
            <w:vAlign w:val="center"/>
          </w:tcPr>
          <w:p w14:paraId="12AB507B">
            <w:pPr>
              <w:jc w:val="center"/>
              <w:rPr>
                <w:rFonts w:ascii="黑体" w:hAnsi="黑体" w:eastAsia="黑体"/>
                <w:sz w:val="28"/>
                <w:szCs w:val="28"/>
              </w:rPr>
            </w:pPr>
            <w:r>
              <w:rPr>
                <w:rFonts w:hint="eastAsia" w:ascii="黑体" w:hAnsi="黑体" w:eastAsia="黑体"/>
                <w:sz w:val="28"/>
                <w:szCs w:val="28"/>
              </w:rPr>
              <w:t>序号</w:t>
            </w:r>
          </w:p>
        </w:tc>
        <w:tc>
          <w:tcPr>
            <w:tcW w:w="3544" w:type="dxa"/>
            <w:vAlign w:val="center"/>
          </w:tcPr>
          <w:p w14:paraId="77498F76">
            <w:pPr>
              <w:jc w:val="center"/>
              <w:rPr>
                <w:rFonts w:ascii="黑体" w:hAnsi="黑体" w:eastAsia="黑体"/>
                <w:sz w:val="28"/>
                <w:szCs w:val="28"/>
              </w:rPr>
            </w:pPr>
            <w:r>
              <w:rPr>
                <w:rFonts w:hint="eastAsia" w:ascii="黑体" w:hAnsi="黑体" w:eastAsia="黑体"/>
                <w:sz w:val="28"/>
                <w:szCs w:val="28"/>
              </w:rPr>
              <w:t>名称</w:t>
            </w:r>
          </w:p>
        </w:tc>
        <w:tc>
          <w:tcPr>
            <w:tcW w:w="3407" w:type="dxa"/>
            <w:vAlign w:val="center"/>
          </w:tcPr>
          <w:p w14:paraId="0FA6F63B">
            <w:pPr>
              <w:jc w:val="center"/>
              <w:rPr>
                <w:rFonts w:ascii="黑体" w:hAnsi="黑体" w:eastAsia="黑体"/>
                <w:sz w:val="28"/>
                <w:szCs w:val="28"/>
              </w:rPr>
            </w:pPr>
            <w:r>
              <w:rPr>
                <w:rFonts w:hint="eastAsia" w:ascii="黑体" w:hAnsi="黑体" w:eastAsia="黑体"/>
                <w:sz w:val="28"/>
                <w:szCs w:val="28"/>
              </w:rPr>
              <w:t>主要依据</w:t>
            </w:r>
          </w:p>
        </w:tc>
        <w:tc>
          <w:tcPr>
            <w:tcW w:w="2239" w:type="dxa"/>
            <w:vAlign w:val="center"/>
          </w:tcPr>
          <w:p w14:paraId="69BE8C5B">
            <w:pPr>
              <w:jc w:val="center"/>
              <w:rPr>
                <w:rFonts w:ascii="黑体" w:hAnsi="黑体" w:eastAsia="黑体"/>
                <w:sz w:val="28"/>
                <w:szCs w:val="28"/>
              </w:rPr>
            </w:pPr>
            <w:r>
              <w:rPr>
                <w:rFonts w:hint="eastAsia" w:ascii="黑体" w:hAnsi="黑体" w:eastAsia="黑体"/>
                <w:sz w:val="28"/>
                <w:szCs w:val="28"/>
              </w:rPr>
              <w:t>相关科室</w:t>
            </w:r>
          </w:p>
        </w:tc>
      </w:tr>
      <w:tr w14:paraId="3145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269599F0">
            <w:pPr>
              <w:pStyle w:val="10"/>
              <w:numPr>
                <w:ilvl w:val="0"/>
                <w:numId w:val="1"/>
              </w:numPr>
              <w:ind w:firstLineChars="0"/>
              <w:jc w:val="center"/>
              <w:rPr>
                <w:rFonts w:ascii="仿宋_GB2312" w:eastAsia="仿宋_GB2312"/>
                <w:sz w:val="24"/>
                <w:szCs w:val="24"/>
              </w:rPr>
            </w:pPr>
          </w:p>
        </w:tc>
        <w:tc>
          <w:tcPr>
            <w:tcW w:w="3544" w:type="dxa"/>
            <w:vAlign w:val="center"/>
          </w:tcPr>
          <w:p w14:paraId="7EC9722C">
            <w:pPr>
              <w:jc w:val="left"/>
              <w:rPr>
                <w:rFonts w:ascii="仿宋_GB2312" w:hAnsi="宋体" w:eastAsia="仿宋_GB2312"/>
                <w:sz w:val="24"/>
                <w:szCs w:val="24"/>
              </w:rPr>
            </w:pPr>
            <w:r>
              <w:rPr>
                <w:rFonts w:hint="eastAsia" w:ascii="仿宋_GB2312" w:hAnsi="宋体" w:eastAsia="仿宋_GB2312"/>
                <w:sz w:val="24"/>
                <w:szCs w:val="24"/>
              </w:rPr>
              <w:t>不受理未经单位主要负责人审批的行政公文</w:t>
            </w:r>
          </w:p>
        </w:tc>
        <w:tc>
          <w:tcPr>
            <w:tcW w:w="3407" w:type="dxa"/>
            <w:vAlign w:val="center"/>
          </w:tcPr>
          <w:p w14:paraId="76C92F5F">
            <w:pPr>
              <w:jc w:val="center"/>
              <w:rPr>
                <w:rFonts w:ascii="仿宋_GB2312" w:hAnsi="宋体" w:eastAsia="仿宋_GB2312"/>
                <w:spacing w:val="-10"/>
                <w:sz w:val="24"/>
                <w:szCs w:val="24"/>
              </w:rPr>
            </w:pPr>
            <w:r>
              <w:rPr>
                <w:rFonts w:hint="eastAsia" w:ascii="仿宋_GB2312" w:hAnsi="宋体" w:eastAsia="仿宋_GB2312"/>
                <w:spacing w:val="-10"/>
                <w:sz w:val="24"/>
                <w:szCs w:val="24"/>
              </w:rPr>
              <w:t>《武汉理工大学公文处理办法》</w:t>
            </w:r>
          </w:p>
        </w:tc>
        <w:tc>
          <w:tcPr>
            <w:tcW w:w="2239" w:type="dxa"/>
            <w:vAlign w:val="center"/>
          </w:tcPr>
          <w:p w14:paraId="132E7C1E">
            <w:pPr>
              <w:jc w:val="center"/>
              <w:rPr>
                <w:rFonts w:ascii="仿宋_GB2312" w:eastAsia="仿宋_GB2312"/>
                <w:sz w:val="24"/>
                <w:szCs w:val="24"/>
              </w:rPr>
            </w:pPr>
            <w:r>
              <w:rPr>
                <w:rFonts w:hint="eastAsia" w:ascii="仿宋_GB2312" w:eastAsia="仿宋_GB2312"/>
                <w:sz w:val="24"/>
                <w:szCs w:val="24"/>
              </w:rPr>
              <w:t>综合办公室</w:t>
            </w:r>
          </w:p>
        </w:tc>
      </w:tr>
      <w:tr w14:paraId="4B4B2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41295E6F">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0365BA28">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不受理未经审批的用印申请</w:t>
            </w:r>
          </w:p>
        </w:tc>
        <w:tc>
          <w:tcPr>
            <w:tcW w:w="3407" w:type="dxa"/>
            <w:shd w:val="clear" w:color="auto" w:fill="auto"/>
            <w:vAlign w:val="center"/>
          </w:tcPr>
          <w:p w14:paraId="045ECBCE">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《行政印章使用规范》</w:t>
            </w:r>
          </w:p>
        </w:tc>
        <w:tc>
          <w:tcPr>
            <w:tcW w:w="2239" w:type="dxa"/>
            <w:shd w:val="clear" w:color="auto" w:fill="auto"/>
            <w:vAlign w:val="center"/>
          </w:tcPr>
          <w:p w14:paraId="5C443DF1">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3379F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412B21AF">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2DCC074A">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不受理未经审批的证书复印件使用申请</w:t>
            </w:r>
          </w:p>
        </w:tc>
        <w:tc>
          <w:tcPr>
            <w:tcW w:w="3407" w:type="dxa"/>
            <w:shd w:val="clear" w:color="auto" w:fill="auto"/>
            <w:vAlign w:val="center"/>
          </w:tcPr>
          <w:p w14:paraId="4428EF74">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《证书管理规范》</w:t>
            </w:r>
          </w:p>
        </w:tc>
        <w:tc>
          <w:tcPr>
            <w:tcW w:w="2239" w:type="dxa"/>
            <w:shd w:val="clear" w:color="auto" w:fill="auto"/>
            <w:vAlign w:val="center"/>
          </w:tcPr>
          <w:p w14:paraId="1FCD719B">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269C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44281297">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2294F18D">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不接受未经审批的学校行政事务通知发布申请</w:t>
            </w:r>
          </w:p>
        </w:tc>
        <w:tc>
          <w:tcPr>
            <w:tcW w:w="3407" w:type="dxa"/>
            <w:shd w:val="clear" w:color="auto" w:fill="auto"/>
            <w:vAlign w:val="center"/>
          </w:tcPr>
          <w:p w14:paraId="69E144B9">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《行政事务处理规范》</w:t>
            </w:r>
          </w:p>
        </w:tc>
        <w:tc>
          <w:tcPr>
            <w:tcW w:w="2239" w:type="dxa"/>
            <w:shd w:val="clear" w:color="auto" w:fill="auto"/>
            <w:vAlign w:val="center"/>
          </w:tcPr>
          <w:p w14:paraId="40D7B0F1">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14D4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1B04B203">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41189A28">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不受理未按流程办理的信息公开（发布）申请</w:t>
            </w:r>
          </w:p>
        </w:tc>
        <w:tc>
          <w:tcPr>
            <w:tcW w:w="3407" w:type="dxa"/>
            <w:shd w:val="clear" w:color="auto" w:fill="auto"/>
            <w:vAlign w:val="center"/>
          </w:tcPr>
          <w:p w14:paraId="67DE9FD2">
            <w:pPr>
              <w:jc w:val="center"/>
              <w:rPr>
                <w:rFonts w:ascii="仿宋_GB2312" w:hAnsi="宋体" w:eastAsia="仿宋_GB2312"/>
                <w:spacing w:val="-10"/>
                <w:sz w:val="24"/>
                <w:szCs w:val="24"/>
              </w:rPr>
            </w:pPr>
            <w:r>
              <w:rPr>
                <w:rFonts w:hint="eastAsia" w:ascii="仿宋_GB2312" w:hAnsi="宋体" w:eastAsia="仿宋_GB2312"/>
                <w:spacing w:val="-10"/>
                <w:sz w:val="24"/>
                <w:szCs w:val="24"/>
              </w:rPr>
              <w:t>《武汉理工大学信息公开办法》</w:t>
            </w:r>
          </w:p>
          <w:p w14:paraId="49E83962">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《信息公开网站信息发布管理办法》</w:t>
            </w:r>
          </w:p>
        </w:tc>
        <w:tc>
          <w:tcPr>
            <w:tcW w:w="2239" w:type="dxa"/>
            <w:shd w:val="clear" w:color="auto" w:fill="auto"/>
            <w:vAlign w:val="center"/>
          </w:tcPr>
          <w:p w14:paraId="0A8796AD">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615AF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678FBFF0">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0B6C4F3C">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 xml:space="preserve">无公函、无审批的公务活动不予接待 </w:t>
            </w:r>
          </w:p>
        </w:tc>
        <w:tc>
          <w:tcPr>
            <w:tcW w:w="3407" w:type="dxa"/>
            <w:shd w:val="clear" w:color="auto" w:fill="auto"/>
            <w:vAlign w:val="center"/>
          </w:tcPr>
          <w:p w14:paraId="10029481">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《武汉理工大学国内公务接待管理实施办法》</w:t>
            </w:r>
          </w:p>
        </w:tc>
        <w:tc>
          <w:tcPr>
            <w:tcW w:w="2239" w:type="dxa"/>
            <w:shd w:val="clear" w:color="auto" w:fill="auto"/>
            <w:vAlign w:val="center"/>
          </w:tcPr>
          <w:p w14:paraId="402C03E7">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4A2BD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42D98BEB">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07C3B642">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不互赠礼品、不承担接待对象住宿费、不超标准接待、不超人数陪同、不上烟、不上高档酒水、工作日午餐不饮酒</w:t>
            </w:r>
          </w:p>
        </w:tc>
        <w:tc>
          <w:tcPr>
            <w:tcW w:w="3407" w:type="dxa"/>
            <w:shd w:val="clear" w:color="auto" w:fill="auto"/>
            <w:vAlign w:val="center"/>
          </w:tcPr>
          <w:p w14:paraId="05AC3E87">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《武汉理工大学国内公务接待管理实施办法》</w:t>
            </w:r>
          </w:p>
        </w:tc>
        <w:tc>
          <w:tcPr>
            <w:tcW w:w="2239" w:type="dxa"/>
            <w:shd w:val="clear" w:color="auto" w:fill="auto"/>
            <w:vAlign w:val="center"/>
          </w:tcPr>
          <w:p w14:paraId="09ED0C26">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74CE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2C0D53D5">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69971B23">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不超标准用车，不公车私用</w:t>
            </w:r>
          </w:p>
        </w:tc>
        <w:tc>
          <w:tcPr>
            <w:tcW w:w="3407" w:type="dxa"/>
            <w:shd w:val="clear" w:color="auto" w:fill="auto"/>
            <w:vAlign w:val="center"/>
          </w:tcPr>
          <w:p w14:paraId="48BD61AC">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中央八项规定精神</w:t>
            </w:r>
          </w:p>
        </w:tc>
        <w:tc>
          <w:tcPr>
            <w:tcW w:w="2239" w:type="dxa"/>
            <w:shd w:val="clear" w:color="auto" w:fill="auto"/>
            <w:vAlign w:val="center"/>
          </w:tcPr>
          <w:p w14:paraId="12B057A3">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3351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0D0B2FB3">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6454202A">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不报销不符合管理规定的差旅费，不报销应由个人承担的费用</w:t>
            </w:r>
          </w:p>
        </w:tc>
        <w:tc>
          <w:tcPr>
            <w:tcW w:w="3407" w:type="dxa"/>
            <w:shd w:val="clear" w:color="auto" w:fill="auto"/>
            <w:vAlign w:val="center"/>
          </w:tcPr>
          <w:p w14:paraId="496615C7">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《武汉理工大学差旅费管理办法》</w:t>
            </w:r>
          </w:p>
        </w:tc>
        <w:tc>
          <w:tcPr>
            <w:tcW w:w="2239" w:type="dxa"/>
            <w:shd w:val="clear" w:color="auto" w:fill="auto"/>
            <w:vAlign w:val="center"/>
          </w:tcPr>
          <w:p w14:paraId="499CFDB8">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综合办公室</w:t>
            </w:r>
          </w:p>
        </w:tc>
      </w:tr>
      <w:tr w14:paraId="31AEB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5576ACB0">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10B91F13">
            <w:pPr>
              <w:jc w:val="left"/>
              <w:rPr>
                <w:rFonts w:hint="eastAsia" w:ascii="仿宋_GB2312" w:hAnsi="宋体" w:eastAsia="仿宋_GB2312"/>
                <w:sz w:val="24"/>
                <w:szCs w:val="24"/>
                <w:lang w:val="en-US" w:eastAsia="zh-CN"/>
              </w:rPr>
            </w:pPr>
            <w:r>
              <w:rPr>
                <w:rFonts w:hint="eastAsia" w:ascii="仿宋_GB2312" w:hAnsi="宋体" w:eastAsia="仿宋_GB2312"/>
                <w:sz w:val="24"/>
                <w:szCs w:val="24"/>
              </w:rPr>
              <w:t>不受理不符合中央高校改善基本办学条件专项设备类项目申报范围的申报</w:t>
            </w:r>
          </w:p>
        </w:tc>
        <w:tc>
          <w:tcPr>
            <w:tcW w:w="3407" w:type="dxa"/>
            <w:shd w:val="clear" w:color="auto" w:fill="auto"/>
            <w:vAlign w:val="center"/>
          </w:tcPr>
          <w:p w14:paraId="2AE5E734">
            <w:pPr>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《武汉理工大学财政专项资金管理办法》</w:t>
            </w:r>
          </w:p>
        </w:tc>
        <w:tc>
          <w:tcPr>
            <w:tcW w:w="2239" w:type="dxa"/>
            <w:shd w:val="clear" w:color="auto" w:fill="auto"/>
            <w:vAlign w:val="center"/>
          </w:tcPr>
          <w:p w14:paraId="7C595998">
            <w:pPr>
              <w:jc w:val="left"/>
              <w:rPr>
                <w:rFonts w:hint="eastAsia" w:ascii="仿宋_GB2312" w:hAnsi="宋体" w:eastAsia="仿宋_GB2312"/>
                <w:sz w:val="24"/>
                <w:szCs w:val="24"/>
                <w:lang w:val="en-US" w:eastAsia="zh-CN"/>
              </w:rPr>
            </w:pPr>
            <w:r>
              <w:rPr>
                <w:rFonts w:hint="eastAsia" w:ascii="仿宋_GB2312" w:hAnsi="宋体" w:eastAsia="仿宋_GB2312"/>
                <w:sz w:val="24"/>
                <w:szCs w:val="24"/>
              </w:rPr>
              <w:t>实验室资源管理科</w:t>
            </w:r>
          </w:p>
        </w:tc>
      </w:tr>
      <w:tr w14:paraId="487DD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55FAB5E0">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5E2DC6D9">
            <w:pPr>
              <w:jc w:val="left"/>
              <w:rPr>
                <w:rFonts w:hint="eastAsia" w:ascii="仿宋_GB2312" w:hAnsi="宋体" w:eastAsia="仿宋_GB2312"/>
                <w:sz w:val="24"/>
                <w:szCs w:val="24"/>
                <w:lang w:val="en-US" w:eastAsia="zh-CN"/>
              </w:rPr>
            </w:pPr>
            <w:r>
              <w:rPr>
                <w:rFonts w:hint="eastAsia" w:ascii="仿宋_GB2312" w:hAnsi="宋体" w:eastAsia="仿宋_GB2312"/>
                <w:sz w:val="24"/>
                <w:szCs w:val="24"/>
              </w:rPr>
              <w:t>不受理超标准配置的行政办公设备采购计划</w:t>
            </w:r>
          </w:p>
        </w:tc>
        <w:tc>
          <w:tcPr>
            <w:tcW w:w="3407" w:type="dxa"/>
            <w:shd w:val="clear" w:color="auto" w:fill="auto"/>
            <w:vAlign w:val="center"/>
          </w:tcPr>
          <w:p w14:paraId="51C34B39">
            <w:pPr>
              <w:jc w:val="center"/>
              <w:rPr>
                <w:rFonts w:hint="eastAsia" w:ascii="仿宋_GB2312" w:hAnsi="宋体" w:eastAsia="仿宋_GB2312"/>
                <w:sz w:val="24"/>
                <w:szCs w:val="24"/>
                <w:lang w:val="en-US" w:eastAsia="zh-CN"/>
              </w:rPr>
            </w:pPr>
            <w:r>
              <w:rPr>
                <w:rFonts w:hint="eastAsia" w:ascii="仿宋_GB2312" w:hAnsi="宋体" w:eastAsia="仿宋_GB2312"/>
                <w:sz w:val="24"/>
                <w:szCs w:val="24"/>
              </w:rPr>
              <w:t>《中央行政单位通用办公设备家具配置标准》</w:t>
            </w:r>
          </w:p>
        </w:tc>
        <w:tc>
          <w:tcPr>
            <w:tcW w:w="2239" w:type="dxa"/>
            <w:shd w:val="clear" w:color="auto" w:fill="auto"/>
            <w:vAlign w:val="center"/>
          </w:tcPr>
          <w:p w14:paraId="7D257341">
            <w:pPr>
              <w:jc w:val="left"/>
              <w:rPr>
                <w:rFonts w:hint="default" w:ascii="仿宋_GB2312" w:hAnsi="宋体" w:eastAsia="仿宋_GB2312"/>
                <w:sz w:val="24"/>
                <w:szCs w:val="24"/>
                <w:lang w:val="en-US" w:eastAsia="zh-CN"/>
              </w:rPr>
            </w:pPr>
            <w:r>
              <w:rPr>
                <w:rFonts w:hint="eastAsia" w:ascii="仿宋_GB2312" w:hAnsi="宋体" w:eastAsia="仿宋_GB2312"/>
                <w:sz w:val="24"/>
                <w:szCs w:val="24"/>
              </w:rPr>
              <w:t>实验室资源管理科</w:t>
            </w:r>
          </w:p>
        </w:tc>
      </w:tr>
      <w:tr w14:paraId="7D2A1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7C6F4E71">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61CBD3EB">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不接受专家人数不符合要求的、论证项目不充分的设备购置可行性论证报告</w:t>
            </w:r>
          </w:p>
        </w:tc>
        <w:tc>
          <w:tcPr>
            <w:tcW w:w="3407" w:type="dxa"/>
            <w:shd w:val="clear" w:color="auto" w:fill="auto"/>
            <w:vAlign w:val="center"/>
          </w:tcPr>
          <w:p w14:paraId="16E183E4">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《武汉理工大学大型仪器设备购置可行性论证工作实施规范（试行）》</w:t>
            </w:r>
          </w:p>
        </w:tc>
        <w:tc>
          <w:tcPr>
            <w:tcW w:w="2239" w:type="dxa"/>
            <w:shd w:val="clear" w:color="auto" w:fill="auto"/>
            <w:vAlign w:val="center"/>
          </w:tcPr>
          <w:p w14:paraId="1F2BDA57">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5C9B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6BF375E0">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35ED08AF">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不接受未签共享协议的大型仪器设备购置可行性论证报告</w:t>
            </w:r>
          </w:p>
        </w:tc>
        <w:tc>
          <w:tcPr>
            <w:tcW w:w="3407" w:type="dxa"/>
            <w:shd w:val="clear" w:color="auto" w:fill="auto"/>
            <w:vAlign w:val="center"/>
          </w:tcPr>
          <w:p w14:paraId="16510449">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《武汉理工大学大型仪器设备购置可行性论证工作实施规范（试行）》</w:t>
            </w:r>
          </w:p>
        </w:tc>
        <w:tc>
          <w:tcPr>
            <w:tcW w:w="2239" w:type="dxa"/>
            <w:shd w:val="clear" w:color="auto" w:fill="auto"/>
            <w:vAlign w:val="center"/>
          </w:tcPr>
          <w:p w14:paraId="55819142">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7F9F6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35C0B8E9">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1797C8D7">
            <w:pPr>
              <w:jc w:val="left"/>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不接受未落实经费来源、仪器设备存放地点及管理人员的仪器设备购置可行性论证报告</w:t>
            </w:r>
          </w:p>
        </w:tc>
        <w:tc>
          <w:tcPr>
            <w:tcW w:w="3407" w:type="dxa"/>
            <w:shd w:val="clear" w:color="auto" w:fill="auto"/>
            <w:vAlign w:val="center"/>
          </w:tcPr>
          <w:p w14:paraId="786A466F">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《武汉理工大学大型仪器设备购置可行性论证工作实施规范（试行）》</w:t>
            </w:r>
          </w:p>
        </w:tc>
        <w:tc>
          <w:tcPr>
            <w:tcW w:w="2239" w:type="dxa"/>
            <w:shd w:val="clear" w:color="auto" w:fill="auto"/>
            <w:vAlign w:val="center"/>
          </w:tcPr>
          <w:p w14:paraId="7E505B4B">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334B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54AC1235">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36B84F0D">
            <w:pPr>
              <w:jc w:val="left"/>
              <w:rPr>
                <w:rFonts w:ascii="仿宋_GB2312" w:eastAsia="仿宋_GB2312" w:hAnsiTheme="minorHAnsi" w:cstheme="minorBidi"/>
                <w:kern w:val="2"/>
                <w:sz w:val="24"/>
                <w:szCs w:val="24"/>
                <w:lang w:val="en-US" w:eastAsia="zh-CN" w:bidi="ar-SA"/>
              </w:rPr>
            </w:pPr>
            <w:r>
              <w:rPr>
                <w:rFonts w:hint="eastAsia" w:ascii="仿宋_GB2312" w:hAnsi="宋体" w:eastAsia="仿宋_GB2312" w:cs="宋体"/>
                <w:sz w:val="24"/>
                <w:szCs w:val="24"/>
              </w:rPr>
              <w:t>不受理代购资产的登记建账</w:t>
            </w:r>
          </w:p>
        </w:tc>
        <w:tc>
          <w:tcPr>
            <w:tcW w:w="3407" w:type="dxa"/>
            <w:shd w:val="clear" w:color="auto" w:fill="auto"/>
            <w:vAlign w:val="center"/>
          </w:tcPr>
          <w:p w14:paraId="325BD866">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《武汉理工大学国有资产管理办法》《武汉理工大学固定资产管理暂行办法》</w:t>
            </w:r>
          </w:p>
        </w:tc>
        <w:tc>
          <w:tcPr>
            <w:tcW w:w="2239" w:type="dxa"/>
            <w:shd w:val="clear" w:color="auto" w:fill="auto"/>
            <w:vAlign w:val="center"/>
          </w:tcPr>
          <w:p w14:paraId="0BA9FB7C">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1BC8F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76C4C614">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57E40087">
            <w:pPr>
              <w:jc w:val="left"/>
              <w:rPr>
                <w:rFonts w:ascii="仿宋_GB2312" w:eastAsia="仿宋_GB2312" w:hAnsiTheme="minorHAnsi" w:cstheme="minorBidi"/>
                <w:kern w:val="2"/>
                <w:sz w:val="24"/>
                <w:szCs w:val="24"/>
                <w:lang w:val="en-US" w:eastAsia="zh-CN" w:bidi="ar-SA"/>
              </w:rPr>
            </w:pPr>
            <w:r>
              <w:rPr>
                <w:rFonts w:hint="eastAsia" w:ascii="仿宋_GB2312" w:hAnsi="宋体" w:eastAsia="仿宋_GB2312" w:cs="宋体"/>
                <w:sz w:val="24"/>
                <w:szCs w:val="24"/>
              </w:rPr>
              <w:t>不受理无预算的机动车辆登记建账</w:t>
            </w:r>
          </w:p>
        </w:tc>
        <w:tc>
          <w:tcPr>
            <w:tcW w:w="3407" w:type="dxa"/>
            <w:shd w:val="clear" w:color="auto" w:fill="auto"/>
            <w:vAlign w:val="center"/>
          </w:tcPr>
          <w:p w14:paraId="0F67C7B7">
            <w:pPr>
              <w:jc w:val="center"/>
              <w:rPr>
                <w:rFonts w:ascii="仿宋_GB2312" w:eastAsia="仿宋_GB2312"/>
                <w:sz w:val="24"/>
                <w:szCs w:val="24"/>
              </w:rPr>
            </w:pPr>
            <w:r>
              <w:rPr>
                <w:rFonts w:hint="eastAsia" w:ascii="仿宋_GB2312" w:eastAsia="仿宋_GB2312"/>
                <w:sz w:val="24"/>
                <w:szCs w:val="24"/>
              </w:rPr>
              <w:t>《财政部关于编制中央部门2023-2025年支出规划和2023年部门预算的通知》</w:t>
            </w:r>
          </w:p>
          <w:p w14:paraId="5081B2C9">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《武汉理工大学固定资产管理暂行办法》</w:t>
            </w:r>
          </w:p>
        </w:tc>
        <w:tc>
          <w:tcPr>
            <w:tcW w:w="2239" w:type="dxa"/>
            <w:shd w:val="clear" w:color="auto" w:fill="auto"/>
            <w:vAlign w:val="center"/>
          </w:tcPr>
          <w:p w14:paraId="0651AF60">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20A76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0EF6857D">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38893C80">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不受理达到规定金额却未经招标购置的大型仪器设备、批量仪器设备的验收申请及建账（经采购部门确认的除外）</w:t>
            </w:r>
          </w:p>
        </w:tc>
        <w:tc>
          <w:tcPr>
            <w:tcW w:w="3407" w:type="dxa"/>
            <w:shd w:val="clear" w:color="auto" w:fill="auto"/>
            <w:vAlign w:val="center"/>
          </w:tcPr>
          <w:p w14:paraId="437E8267">
            <w:pPr>
              <w:jc w:val="center"/>
              <w:rPr>
                <w:rFonts w:hint="default" w:ascii="仿宋_GB2312" w:hAnsi="宋体" w:eastAsia="仿宋_GB2312" w:cstheme="minorBidi"/>
                <w:kern w:val="2"/>
                <w:sz w:val="24"/>
                <w:szCs w:val="24"/>
                <w:lang w:val="en-US" w:eastAsia="zh-CN" w:bidi="ar-SA"/>
              </w:rPr>
            </w:pPr>
            <w:r>
              <w:rPr>
                <w:rFonts w:hint="eastAsia" w:ascii="仿宋_GB2312" w:hAnsi="宋体" w:eastAsia="仿宋_GB2312"/>
                <w:sz w:val="24"/>
                <w:szCs w:val="24"/>
              </w:rPr>
              <w:t>《武汉理工大学大型仪器设备验收程序暂行规定》</w:t>
            </w:r>
          </w:p>
        </w:tc>
        <w:tc>
          <w:tcPr>
            <w:tcW w:w="2239" w:type="dxa"/>
            <w:shd w:val="clear" w:color="auto" w:fill="auto"/>
            <w:vAlign w:val="center"/>
          </w:tcPr>
          <w:p w14:paraId="7396EB80">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1155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31CFA2E0">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2294E1F9">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不受理不符合验收条件要求的大型仪器设备、批量设备验收申请（主要包含：未到货安装、未达到调试时间要求、验收专家资质不够、未经单位主要负责人签批等）</w:t>
            </w:r>
          </w:p>
        </w:tc>
        <w:tc>
          <w:tcPr>
            <w:tcW w:w="3407" w:type="dxa"/>
            <w:shd w:val="clear" w:color="auto" w:fill="auto"/>
            <w:vAlign w:val="center"/>
          </w:tcPr>
          <w:p w14:paraId="166159EC">
            <w:pPr>
              <w:jc w:val="center"/>
              <w:rPr>
                <w:rFonts w:hint="default" w:ascii="仿宋_GB2312" w:hAnsi="宋体" w:eastAsia="仿宋_GB2312" w:cstheme="minorBidi"/>
                <w:kern w:val="2"/>
                <w:sz w:val="24"/>
                <w:szCs w:val="24"/>
                <w:lang w:val="en-US" w:eastAsia="zh-CN" w:bidi="ar-SA"/>
              </w:rPr>
            </w:pPr>
            <w:r>
              <w:rPr>
                <w:rFonts w:hint="eastAsia" w:ascii="仿宋_GB2312" w:hAnsi="宋体" w:eastAsia="仿宋_GB2312"/>
                <w:sz w:val="24"/>
                <w:szCs w:val="24"/>
              </w:rPr>
              <w:t>《武汉理工大学大型仪器设备验收程序暂行规定》</w:t>
            </w:r>
          </w:p>
        </w:tc>
        <w:tc>
          <w:tcPr>
            <w:tcW w:w="2239" w:type="dxa"/>
            <w:shd w:val="clear" w:color="auto" w:fill="auto"/>
            <w:vAlign w:val="center"/>
          </w:tcPr>
          <w:p w14:paraId="6147E725">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6AC5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3544A31B">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046B0911">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不受理未提交《武汉理工大学仪器设备报废申请单》或未经单位负责人审核签批的资产报废处置申请</w:t>
            </w:r>
          </w:p>
        </w:tc>
        <w:tc>
          <w:tcPr>
            <w:tcW w:w="3407" w:type="dxa"/>
            <w:shd w:val="clear" w:color="auto" w:fill="auto"/>
            <w:vAlign w:val="center"/>
          </w:tcPr>
          <w:p w14:paraId="6507CBCD">
            <w:pPr>
              <w:pStyle w:val="2"/>
              <w:widowControl/>
              <w:jc w:val="center"/>
              <w:rPr>
                <w:rFonts w:hint="default" w:ascii="仿宋_GB2312" w:hAnsi="宋体" w:eastAsia="仿宋_GB2312" w:cstheme="minorBidi"/>
                <w:b w:val="0"/>
                <w:bCs w:val="0"/>
                <w:kern w:val="2"/>
                <w:sz w:val="24"/>
                <w:szCs w:val="24"/>
                <w:lang w:val="en-US" w:eastAsia="zh-CN" w:bidi="ar-SA"/>
              </w:rPr>
            </w:pPr>
            <w:r>
              <w:rPr>
                <w:rFonts w:ascii="仿宋_GB2312" w:eastAsia="仿宋_GB2312" w:cstheme="minorBidi"/>
                <w:b w:val="0"/>
                <w:bCs w:val="0"/>
                <w:kern w:val="2"/>
                <w:sz w:val="24"/>
                <w:szCs w:val="24"/>
              </w:rPr>
              <w:t>《武汉理工大学闲置与报废资产管理实施办法》</w:t>
            </w:r>
          </w:p>
        </w:tc>
        <w:tc>
          <w:tcPr>
            <w:tcW w:w="2239" w:type="dxa"/>
            <w:shd w:val="clear" w:color="auto" w:fill="auto"/>
            <w:vAlign w:val="center"/>
          </w:tcPr>
          <w:p w14:paraId="03385564">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349B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63557B56">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5239889E">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不受理未达到最低使用年限要求的仪器设备资产报废处置申请（因自然灾害、盗抢等不可抗拒的原因除外）</w:t>
            </w:r>
          </w:p>
        </w:tc>
        <w:tc>
          <w:tcPr>
            <w:tcW w:w="3407" w:type="dxa"/>
            <w:shd w:val="clear" w:color="auto" w:fill="auto"/>
            <w:vAlign w:val="center"/>
          </w:tcPr>
          <w:p w14:paraId="6007A9C5">
            <w:pPr>
              <w:pStyle w:val="2"/>
              <w:widowControl/>
              <w:jc w:val="center"/>
              <w:rPr>
                <w:rFonts w:hint="default" w:ascii="仿宋_GB2312" w:hAnsi="宋体" w:eastAsia="仿宋_GB2312" w:cstheme="minorBidi"/>
                <w:b w:val="0"/>
                <w:bCs w:val="0"/>
                <w:kern w:val="2"/>
                <w:sz w:val="24"/>
                <w:szCs w:val="24"/>
                <w:lang w:val="en-US" w:eastAsia="zh-CN" w:bidi="ar-SA"/>
              </w:rPr>
            </w:pPr>
            <w:r>
              <w:rPr>
                <w:rFonts w:ascii="仿宋_GB2312" w:eastAsia="仿宋_GB2312" w:cstheme="minorBidi"/>
                <w:b w:val="0"/>
                <w:bCs w:val="0"/>
                <w:kern w:val="2"/>
                <w:sz w:val="24"/>
                <w:szCs w:val="24"/>
              </w:rPr>
              <w:t>《武汉理工大学闲置与报废资产管理实施办法》</w:t>
            </w:r>
          </w:p>
        </w:tc>
        <w:tc>
          <w:tcPr>
            <w:tcW w:w="2239" w:type="dxa"/>
            <w:shd w:val="clear" w:color="auto" w:fill="auto"/>
            <w:vAlign w:val="center"/>
          </w:tcPr>
          <w:p w14:paraId="3BC01F58">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003D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183D392C">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219C9929">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不受理无报废计划的车辆、单价达到50万元的通用设备、单价达到100万元的专用设备报废申请</w:t>
            </w:r>
          </w:p>
        </w:tc>
        <w:tc>
          <w:tcPr>
            <w:tcW w:w="3407" w:type="dxa"/>
            <w:shd w:val="clear" w:color="auto" w:fill="auto"/>
            <w:vAlign w:val="center"/>
          </w:tcPr>
          <w:p w14:paraId="3E01630B">
            <w:pPr>
              <w:pStyle w:val="2"/>
              <w:widowControl/>
              <w:jc w:val="center"/>
              <w:rPr>
                <w:rFonts w:hint="default" w:ascii="仿宋_GB2312" w:hAnsi="宋体" w:eastAsia="仿宋_GB2312" w:cs="Times New Roman"/>
                <w:b/>
                <w:bCs/>
                <w:kern w:val="0"/>
                <w:sz w:val="24"/>
                <w:szCs w:val="24"/>
                <w:lang w:val="en-US" w:eastAsia="zh-CN" w:bidi="ar-SA"/>
              </w:rPr>
            </w:pPr>
            <w:r>
              <w:rPr>
                <w:rFonts w:ascii="仿宋_GB2312" w:eastAsia="仿宋_GB2312" w:cstheme="minorBidi"/>
                <w:b w:val="0"/>
                <w:bCs w:val="0"/>
                <w:kern w:val="2"/>
                <w:sz w:val="24"/>
                <w:szCs w:val="24"/>
              </w:rPr>
              <w:t>《财政部关于编制中央部门2023-2025年支出规划和2023年部门预算的通知》《武汉理工大学固定资产管理暂行办法》《武汉理工大学闲置与报废资产管理实施办法》</w:t>
            </w:r>
          </w:p>
        </w:tc>
        <w:tc>
          <w:tcPr>
            <w:tcW w:w="2239" w:type="dxa"/>
            <w:shd w:val="clear" w:color="auto" w:fill="auto"/>
            <w:vAlign w:val="center"/>
          </w:tcPr>
          <w:p w14:paraId="246C8C35">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75E86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494250C4">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6A956832">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不受理已完成报废物资招标工作的资产报废留用或部分留用申请</w:t>
            </w:r>
          </w:p>
        </w:tc>
        <w:tc>
          <w:tcPr>
            <w:tcW w:w="3407" w:type="dxa"/>
            <w:shd w:val="clear" w:color="auto" w:fill="auto"/>
            <w:vAlign w:val="center"/>
          </w:tcPr>
          <w:p w14:paraId="37899B50">
            <w:pPr>
              <w:pStyle w:val="2"/>
              <w:widowControl/>
              <w:jc w:val="center"/>
              <w:rPr>
                <w:rFonts w:hint="default" w:ascii="仿宋_GB2312" w:hAnsi="宋体" w:eastAsia="仿宋_GB2312" w:cs="Times New Roman"/>
                <w:b/>
                <w:bCs/>
                <w:kern w:val="0"/>
                <w:sz w:val="24"/>
                <w:szCs w:val="24"/>
                <w:lang w:val="en-US" w:eastAsia="zh-CN" w:bidi="ar-SA"/>
              </w:rPr>
            </w:pPr>
            <w:r>
              <w:rPr>
                <w:rFonts w:ascii="仿宋_GB2312" w:eastAsia="仿宋_GB2312" w:cstheme="minorBidi"/>
                <w:b w:val="0"/>
                <w:bCs w:val="0"/>
                <w:kern w:val="2"/>
                <w:sz w:val="24"/>
                <w:szCs w:val="24"/>
              </w:rPr>
              <w:t>《武汉理工大学闲置与报废资产管理实施办法》</w:t>
            </w:r>
          </w:p>
        </w:tc>
        <w:tc>
          <w:tcPr>
            <w:tcW w:w="2239" w:type="dxa"/>
            <w:shd w:val="clear" w:color="auto" w:fill="auto"/>
            <w:vAlign w:val="center"/>
          </w:tcPr>
          <w:p w14:paraId="7CDCB8DA">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0E801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07FB153B">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49069A84">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不受理填写不规范的领用人变更申请、资产内部调拨申请（主要表现为：未经领用人签名，未经调出单位、调入单位主要负责人审核签批，未加盖公章）</w:t>
            </w:r>
          </w:p>
        </w:tc>
        <w:tc>
          <w:tcPr>
            <w:tcW w:w="3407" w:type="dxa"/>
            <w:shd w:val="clear" w:color="auto" w:fill="auto"/>
            <w:vAlign w:val="center"/>
          </w:tcPr>
          <w:p w14:paraId="1406CB5C">
            <w:pPr>
              <w:pStyle w:val="2"/>
              <w:widowControl/>
              <w:jc w:val="center"/>
              <w:rPr>
                <w:rFonts w:hint="default" w:ascii="仿宋_GB2312" w:hAnsi="宋体" w:eastAsia="仿宋_GB2312" w:cs="Times New Roman"/>
                <w:b/>
                <w:bCs/>
                <w:kern w:val="0"/>
                <w:sz w:val="24"/>
                <w:szCs w:val="24"/>
                <w:lang w:val="en-US" w:eastAsia="zh-CN" w:bidi="ar-SA"/>
              </w:rPr>
            </w:pPr>
            <w:r>
              <w:rPr>
                <w:rFonts w:ascii="仿宋_GB2312" w:eastAsia="仿宋_GB2312" w:cstheme="minorBidi"/>
                <w:b w:val="0"/>
                <w:bCs w:val="0"/>
                <w:kern w:val="2"/>
                <w:sz w:val="24"/>
                <w:szCs w:val="24"/>
              </w:rPr>
              <w:t>《武汉理工大学国有资产管理办法》《武汉理工大学固定资产管理暂行办法》《资产网上登记建账指南》</w:t>
            </w:r>
          </w:p>
        </w:tc>
        <w:tc>
          <w:tcPr>
            <w:tcW w:w="2239" w:type="dxa"/>
            <w:shd w:val="clear" w:color="auto" w:fill="auto"/>
            <w:vAlign w:val="center"/>
          </w:tcPr>
          <w:p w14:paraId="0E4F5CF3">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55B7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3FDF5199">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06B08414">
            <w:pPr>
              <w:jc w:val="left"/>
              <w:rPr>
                <w:rFonts w:ascii="仿宋_GB2312" w:hAnsi="宋体" w:eastAsia="仿宋_GB2312" w:cs="宋体"/>
                <w:kern w:val="2"/>
                <w:sz w:val="24"/>
                <w:szCs w:val="24"/>
                <w:lang w:val="en-US" w:eastAsia="zh-CN" w:bidi="ar-SA"/>
              </w:rPr>
            </w:pPr>
            <w:r>
              <w:rPr>
                <w:rFonts w:hint="eastAsia" w:ascii="仿宋_GB2312" w:hAnsi="宋体" w:eastAsia="仿宋_GB2312" w:cs="宋体"/>
                <w:sz w:val="24"/>
                <w:szCs w:val="24"/>
              </w:rPr>
              <w:t>不接受未经单位负责人审核签批的资产报告、资产统计报表</w:t>
            </w:r>
          </w:p>
        </w:tc>
        <w:tc>
          <w:tcPr>
            <w:tcW w:w="3407" w:type="dxa"/>
            <w:shd w:val="clear" w:color="auto" w:fill="auto"/>
            <w:vAlign w:val="center"/>
          </w:tcPr>
          <w:p w14:paraId="693A0D9C">
            <w:pPr>
              <w:jc w:val="center"/>
              <w:rPr>
                <w:rFonts w:hint="default" w:ascii="仿宋_GB2312" w:hAnsi="宋体" w:eastAsia="仿宋_GB2312" w:cstheme="minorBidi"/>
                <w:kern w:val="2"/>
                <w:sz w:val="24"/>
                <w:szCs w:val="24"/>
                <w:lang w:val="en-US" w:eastAsia="zh-CN" w:bidi="ar-SA"/>
              </w:rPr>
            </w:pPr>
            <w:r>
              <w:rPr>
                <w:rFonts w:hint="eastAsia" w:ascii="仿宋_GB2312" w:eastAsia="仿宋_GB2312"/>
                <w:sz w:val="24"/>
                <w:szCs w:val="24"/>
              </w:rPr>
              <w:t>《武汉理工大学国有资产管理办法》《武汉理工大学固定资产管理暂行办法》</w:t>
            </w:r>
          </w:p>
        </w:tc>
        <w:tc>
          <w:tcPr>
            <w:tcW w:w="2239" w:type="dxa"/>
            <w:shd w:val="clear" w:color="auto" w:fill="auto"/>
            <w:vAlign w:val="center"/>
          </w:tcPr>
          <w:p w14:paraId="3D00B627">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w:t>
            </w:r>
            <w:r>
              <w:rPr>
                <w:rFonts w:hint="eastAsia" w:ascii="仿宋_GB2312" w:eastAsia="仿宋_GB2312"/>
                <w:sz w:val="24"/>
                <w:szCs w:val="24"/>
              </w:rPr>
              <w:t>管理科</w:t>
            </w:r>
          </w:p>
        </w:tc>
      </w:tr>
      <w:tr w14:paraId="057B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51F52EC2">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1935752C">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不受理未按程序审批、材料不齐全、不规范和不属于设备类别的招标采购项目申请</w:t>
            </w:r>
          </w:p>
        </w:tc>
        <w:tc>
          <w:tcPr>
            <w:tcW w:w="3407" w:type="dxa"/>
            <w:shd w:val="clear" w:color="auto" w:fill="auto"/>
            <w:vAlign w:val="center"/>
          </w:tcPr>
          <w:p w14:paraId="243F6AD9">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《武汉理工大学采购与招标管理暂行办法》、湖北省政府采购负面清单及国家相关法律法规</w:t>
            </w:r>
          </w:p>
        </w:tc>
        <w:tc>
          <w:tcPr>
            <w:tcW w:w="2239" w:type="dxa"/>
            <w:shd w:val="clear" w:color="auto" w:fill="auto"/>
            <w:vAlign w:val="center"/>
          </w:tcPr>
          <w:p w14:paraId="1FCC6B4D">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62846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277D43C3">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37A71F45">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不受理未按程序审批、材料不齐全、不规范和不属于设备采购范畴的采购合同用印申请</w:t>
            </w:r>
          </w:p>
        </w:tc>
        <w:tc>
          <w:tcPr>
            <w:tcW w:w="3407" w:type="dxa"/>
            <w:shd w:val="clear" w:color="auto" w:fill="auto"/>
            <w:vAlign w:val="center"/>
          </w:tcPr>
          <w:p w14:paraId="70D612D5">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《武汉理工大学设备与物资采购合同管理办法》</w:t>
            </w:r>
          </w:p>
        </w:tc>
        <w:tc>
          <w:tcPr>
            <w:tcW w:w="2239" w:type="dxa"/>
            <w:shd w:val="clear" w:color="auto" w:fill="auto"/>
            <w:vAlign w:val="center"/>
          </w:tcPr>
          <w:p w14:paraId="2C0E6A99">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33E0C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02E71515">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6A34DEB4">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不受理不符合海关免税规定的进口设备免税手续办理申请</w:t>
            </w:r>
          </w:p>
        </w:tc>
        <w:tc>
          <w:tcPr>
            <w:tcW w:w="3407" w:type="dxa"/>
            <w:shd w:val="clear" w:color="auto" w:fill="auto"/>
            <w:vAlign w:val="center"/>
          </w:tcPr>
          <w:p w14:paraId="77E96DD7">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《武汉理工大学免税进口科学研究和教学用品管理办法》</w:t>
            </w:r>
          </w:p>
        </w:tc>
        <w:tc>
          <w:tcPr>
            <w:tcW w:w="2239" w:type="dxa"/>
            <w:shd w:val="clear" w:color="auto" w:fill="auto"/>
            <w:vAlign w:val="center"/>
          </w:tcPr>
          <w:p w14:paraId="6176997E">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7572D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3582E2B6">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2ABBC666">
            <w:pPr>
              <w:jc w:val="left"/>
              <w:rPr>
                <w:rFonts w:ascii="仿宋_GB2312" w:hAnsi="宋体" w:eastAsia="仿宋_GB2312" w:cs="宋体"/>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sz w:val="24"/>
                <w:szCs w:val="24"/>
                <w:shd w:val="clear" w:color="auto" w:fill="FFFFFF"/>
                <w14:textFill>
                  <w14:solidFill>
                    <w14:schemeClr w14:val="tx1"/>
                  </w14:solidFill>
                </w14:textFill>
              </w:rPr>
              <w:t>不受理在环保部门审核批准的危险废物代码以外的危险废物、不接受未经二级单位主管领导签字批准的危险废物及未填报危险废物</w:t>
            </w:r>
          </w:p>
        </w:tc>
        <w:tc>
          <w:tcPr>
            <w:tcW w:w="3407" w:type="dxa"/>
            <w:shd w:val="clear" w:color="auto" w:fill="auto"/>
            <w:vAlign w:val="center"/>
          </w:tcPr>
          <w:p w14:paraId="1FBA22B8">
            <w:pPr>
              <w:jc w:val="center"/>
              <w:rPr>
                <w:rFonts w:ascii="仿宋_GB2312" w:hAnsi="宋体" w:eastAsia="仿宋_GB2312" w:cs="宋体"/>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《中华人民共和国固体废物污染环境防治法》《武汉理工大学环境保护管理暂行办法》</w:t>
            </w:r>
          </w:p>
        </w:tc>
        <w:tc>
          <w:tcPr>
            <w:tcW w:w="2239" w:type="dxa"/>
            <w:shd w:val="clear" w:color="auto" w:fill="auto"/>
            <w:vAlign w:val="center"/>
          </w:tcPr>
          <w:p w14:paraId="250AE77B">
            <w:pPr>
              <w:pStyle w:val="2"/>
              <w:widowControl/>
              <w:shd w:val="clear" w:color="auto" w:fill="FFFFFF"/>
              <w:spacing w:before="300" w:beforeAutospacing="0" w:after="150" w:afterAutospacing="0" w:line="17" w:lineRule="atLeast"/>
              <w:jc w:val="center"/>
              <w:rPr>
                <w:rFonts w:hint="default" w:ascii="仿宋_GB2312" w:hAnsi="宋体" w:eastAsia="仿宋_GB2312" w:cs="Times New Roman"/>
                <w:b/>
                <w:bCs/>
                <w:color w:val="000000" w:themeColor="text1"/>
                <w:kern w:val="0"/>
                <w:sz w:val="24"/>
                <w:szCs w:val="24"/>
                <w:lang w:val="en-US" w:eastAsia="zh-CN" w:bidi="ar-SA"/>
                <w14:textFill>
                  <w14:solidFill>
                    <w14:schemeClr w14:val="tx1"/>
                  </w14:solidFill>
                </w14:textFill>
              </w:rPr>
            </w:pPr>
            <w:r>
              <w:rPr>
                <w:rFonts w:ascii="仿宋_GB2312" w:eastAsia="仿宋_GB2312" w:cs="宋体"/>
                <w:b w:val="0"/>
                <w:bCs w:val="0"/>
                <w:color w:val="000000" w:themeColor="text1"/>
                <w:kern w:val="2"/>
                <w:sz w:val="24"/>
                <w:szCs w:val="24"/>
                <w:shd w:val="clear" w:color="auto" w:fill="FFFFFF"/>
                <w14:textFill>
                  <w14:solidFill>
                    <w14:schemeClr w14:val="tx1"/>
                  </w14:solidFill>
                </w14:textFill>
              </w:rPr>
              <w:t>实验室安全管理科</w:t>
            </w:r>
          </w:p>
        </w:tc>
      </w:tr>
      <w:tr w14:paraId="4DC9C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48FCEC71">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6257BEA6">
            <w:pPr>
              <w:jc w:val="left"/>
              <w:rPr>
                <w:rFonts w:ascii="仿宋_GB2312" w:hAnsi="宋体" w:eastAsia="仿宋_GB2312" w:cs="宋体"/>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sz w:val="24"/>
                <w:szCs w:val="24"/>
                <w:shd w:val="clear" w:color="auto" w:fill="FFFFFF"/>
                <w14:textFill>
                  <w14:solidFill>
                    <w14:schemeClr w14:val="tx1"/>
                  </w14:solidFill>
                </w14:textFill>
              </w:rPr>
              <w:t>不受理解决二级单位未按安全生产及环境保护相关法律法规要求造成的罚责问题，不受理超期放射工作人员个人剂量计监测工作</w:t>
            </w:r>
          </w:p>
        </w:tc>
        <w:tc>
          <w:tcPr>
            <w:tcW w:w="3407" w:type="dxa"/>
            <w:shd w:val="clear" w:color="auto" w:fill="auto"/>
            <w:vAlign w:val="center"/>
          </w:tcPr>
          <w:p w14:paraId="7C480FD8">
            <w:pPr>
              <w:jc w:val="center"/>
              <w:rPr>
                <w:rFonts w:ascii="仿宋_GB2312" w:hAnsi="宋体" w:eastAsia="仿宋_GB2312" w:cs="宋体"/>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中华人民共和国安全生产法》《中华人民共和国环境保护法》《放射性同位素与射线装置安全和防护条例》《武汉理工大学环境保护管理暂行办法》《武汉理工大学实验室技术安全管理办法》《武汉理工大学放射性同位素与射线装置安全管理暂行办法》</w:t>
            </w:r>
          </w:p>
        </w:tc>
        <w:tc>
          <w:tcPr>
            <w:tcW w:w="2239" w:type="dxa"/>
            <w:shd w:val="clear" w:color="auto" w:fill="auto"/>
            <w:vAlign w:val="center"/>
          </w:tcPr>
          <w:p w14:paraId="2AD2297C">
            <w:pPr>
              <w:pStyle w:val="2"/>
              <w:widowControl/>
              <w:shd w:val="clear" w:color="auto" w:fill="FFFFFF"/>
              <w:spacing w:before="300" w:beforeAutospacing="0" w:after="150" w:afterAutospacing="0" w:line="17" w:lineRule="atLeast"/>
              <w:jc w:val="center"/>
              <w:rPr>
                <w:rFonts w:hint="default" w:ascii="仿宋_GB2312" w:hAnsi="宋体" w:eastAsia="仿宋_GB2312" w:cs="Times New Roman"/>
                <w:b/>
                <w:bCs/>
                <w:color w:val="000000" w:themeColor="text1"/>
                <w:kern w:val="0"/>
                <w:sz w:val="24"/>
                <w:szCs w:val="24"/>
                <w:lang w:val="en-US" w:eastAsia="zh-CN" w:bidi="ar-SA"/>
                <w14:textFill>
                  <w14:solidFill>
                    <w14:schemeClr w14:val="tx1"/>
                  </w14:solidFill>
                </w14:textFill>
              </w:rPr>
            </w:pPr>
            <w:r>
              <w:rPr>
                <w:rFonts w:ascii="仿宋_GB2312" w:eastAsia="仿宋_GB2312" w:cs="宋体"/>
                <w:b w:val="0"/>
                <w:bCs w:val="0"/>
                <w:color w:val="000000" w:themeColor="text1"/>
                <w:kern w:val="2"/>
                <w:sz w:val="24"/>
                <w:szCs w:val="24"/>
                <w:shd w:val="clear" w:color="auto" w:fill="FFFFFF"/>
                <w14:textFill>
                  <w14:solidFill>
                    <w14:schemeClr w14:val="tx1"/>
                  </w14:solidFill>
                </w14:textFill>
              </w:rPr>
              <w:t>实验室安全管理科</w:t>
            </w:r>
          </w:p>
        </w:tc>
      </w:tr>
      <w:tr w14:paraId="56A60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846" w:type="dxa"/>
            <w:vAlign w:val="center"/>
          </w:tcPr>
          <w:p w14:paraId="3CA0813A">
            <w:pPr>
              <w:pStyle w:val="10"/>
              <w:numPr>
                <w:ilvl w:val="0"/>
                <w:numId w:val="1"/>
              </w:numPr>
              <w:ind w:firstLineChars="0"/>
              <w:jc w:val="center"/>
              <w:rPr>
                <w:rFonts w:ascii="仿宋_GB2312" w:eastAsia="仿宋_GB2312"/>
                <w:sz w:val="24"/>
                <w:szCs w:val="24"/>
              </w:rPr>
            </w:pPr>
          </w:p>
        </w:tc>
        <w:tc>
          <w:tcPr>
            <w:tcW w:w="3544" w:type="dxa"/>
            <w:shd w:val="clear" w:color="auto" w:fill="auto"/>
            <w:vAlign w:val="center"/>
          </w:tcPr>
          <w:p w14:paraId="42FEFC55">
            <w:pPr>
              <w:jc w:val="left"/>
              <w:rPr>
                <w:rFonts w:hint="eastAsia" w:ascii="仿宋_GB2312" w:hAnsi="宋体" w:eastAsia="仿宋_GB2312" w:cs="宋体"/>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sz w:val="24"/>
                <w:szCs w:val="24"/>
                <w:shd w:val="clear" w:color="auto" w:fill="FFFFFF"/>
                <w14:textFill>
                  <w14:solidFill>
                    <w14:schemeClr w14:val="tx1"/>
                  </w14:solidFill>
                </w14:textFill>
              </w:rPr>
              <w:t>不受理存储条件未达标、管理人员不到位的辐射设备、</w:t>
            </w:r>
            <w:r>
              <w:rPr>
                <w:rFonts w:hint="eastAsia" w:ascii="仿宋_GB2312" w:hAnsi="宋体" w:eastAsia="仿宋_GB2312" w:cs="宋体"/>
                <w:color w:val="000000" w:themeColor="text1"/>
                <w:sz w:val="24"/>
                <w:szCs w:val="24"/>
                <w:shd w:val="clear" w:color="auto" w:fill="FFFFFF"/>
                <w:lang w:val="en-US" w:eastAsia="zh-CN"/>
                <w14:textFill>
                  <w14:solidFill>
                    <w14:schemeClr w14:val="tx1"/>
                  </w14:solidFill>
                </w14:textFill>
              </w:rPr>
              <w:t>实验室</w:t>
            </w:r>
            <w:r>
              <w:rPr>
                <w:rFonts w:hint="eastAsia" w:ascii="仿宋_GB2312" w:hAnsi="宋体" w:eastAsia="仿宋_GB2312" w:cs="宋体"/>
                <w:color w:val="000000" w:themeColor="text1"/>
                <w:sz w:val="24"/>
                <w:szCs w:val="24"/>
                <w:shd w:val="clear" w:color="auto" w:fill="FFFFFF"/>
                <w14:textFill>
                  <w14:solidFill>
                    <w14:schemeClr w14:val="tx1"/>
                  </w14:solidFill>
                </w14:textFill>
              </w:rPr>
              <w:t>特种设备、管制类危险化学品采购申请</w:t>
            </w:r>
            <w:bookmarkStart w:id="0" w:name="_GoBack"/>
            <w:bookmarkEnd w:id="0"/>
          </w:p>
        </w:tc>
        <w:tc>
          <w:tcPr>
            <w:tcW w:w="3407" w:type="dxa"/>
            <w:shd w:val="clear" w:color="auto" w:fill="auto"/>
            <w:vAlign w:val="center"/>
          </w:tcPr>
          <w:p w14:paraId="3055D938">
            <w:pPr>
              <w:jc w:val="center"/>
              <w:rPr>
                <w:rFonts w:hint="eastAsia" w:ascii="仿宋_GB2312" w:hAnsi="宋体" w:eastAsia="仿宋_GB2312" w:cs="宋体"/>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放射性同位素与射线装置安全和防护条例》《危险化学品安全管理条例》《武汉理工大学特种设备安全管理条例》《武汉理工大学放射性同位素与射线装置安全管理暂行办法》《武汉理工大学危险化学品监管实施细则》</w:t>
            </w:r>
          </w:p>
        </w:tc>
        <w:tc>
          <w:tcPr>
            <w:tcW w:w="2239" w:type="dxa"/>
            <w:shd w:val="clear" w:color="auto" w:fill="auto"/>
            <w:vAlign w:val="center"/>
          </w:tcPr>
          <w:p w14:paraId="5121140C">
            <w:pPr>
              <w:pStyle w:val="2"/>
              <w:widowControl/>
              <w:shd w:val="clear" w:color="auto" w:fill="FFFFFF"/>
              <w:spacing w:before="300" w:beforeAutospacing="0" w:after="150" w:afterAutospacing="0" w:line="17" w:lineRule="atLeast"/>
              <w:jc w:val="center"/>
              <w:rPr>
                <w:rFonts w:hint="default" w:ascii="仿宋_GB2312" w:hAnsi="宋体" w:eastAsia="仿宋_GB2312" w:cs="Times New Roman"/>
                <w:b/>
                <w:bCs/>
                <w:color w:val="000000" w:themeColor="text1"/>
                <w:kern w:val="0"/>
                <w:sz w:val="24"/>
                <w:szCs w:val="24"/>
                <w:lang w:val="en-US" w:eastAsia="zh-CN" w:bidi="ar-SA"/>
                <w14:textFill>
                  <w14:solidFill>
                    <w14:schemeClr w14:val="tx1"/>
                  </w14:solidFill>
                </w14:textFill>
              </w:rPr>
            </w:pPr>
            <w:r>
              <w:rPr>
                <w:rFonts w:ascii="仿宋_GB2312" w:eastAsia="仿宋_GB2312" w:cs="宋体"/>
                <w:b w:val="0"/>
                <w:bCs w:val="0"/>
                <w:color w:val="000000" w:themeColor="text1"/>
                <w:kern w:val="2"/>
                <w:sz w:val="24"/>
                <w:szCs w:val="24"/>
                <w:shd w:val="clear" w:color="auto" w:fill="FFFFFF"/>
                <w14:textFill>
                  <w14:solidFill>
                    <w14:schemeClr w14:val="tx1"/>
                  </w14:solidFill>
                </w14:textFill>
              </w:rPr>
              <w:t>实验室安全管理科</w:t>
            </w:r>
          </w:p>
        </w:tc>
      </w:tr>
    </w:tbl>
    <w:p w14:paraId="395E8B03">
      <w:pPr>
        <w:rPr>
          <w:rFonts w:ascii="仿宋_GB2312" w:eastAsia="仿宋_GB2312"/>
          <w:szCs w:val="21"/>
        </w:rPr>
      </w:pPr>
    </w:p>
    <w:p w14:paraId="18997157"/>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A6E7">
    <w:pPr>
      <w:pStyle w:val="3"/>
      <w:jc w:val="cente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5</w:t>
    </w:r>
    <w:r>
      <w:rPr>
        <w:rFonts w:ascii="仿宋" w:hAnsi="仿宋" w:eastAsia="仿宋"/>
        <w:sz w:val="28"/>
        <w:szCs w:val="28"/>
      </w:rPr>
      <w:fldChar w:fldCharType="end"/>
    </w:r>
    <w:r>
      <w:rPr>
        <w:rFonts w:hint="eastAsia" w:ascii="仿宋" w:hAnsi="仿宋" w:eastAsia="仿宋"/>
        <w:sz w:val="28"/>
        <w:szCs w:val="28"/>
      </w:rPr>
      <w:t>-</w:t>
    </w:r>
  </w:p>
  <w:p w14:paraId="1E73DFE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21B76"/>
    <w:multiLevelType w:val="multilevel"/>
    <w:tmpl w:val="7A321B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Y2MzOGYzODQ4MDQzNzQyM2Q2Mjg4YzkwZmJmZmEifQ=="/>
  </w:docVars>
  <w:rsids>
    <w:rsidRoot w:val="008354BC"/>
    <w:rsid w:val="00255AD4"/>
    <w:rsid w:val="005C0FF3"/>
    <w:rsid w:val="008354BC"/>
    <w:rsid w:val="00844ABE"/>
    <w:rsid w:val="00BE5216"/>
    <w:rsid w:val="00D31D17"/>
    <w:rsid w:val="5B460346"/>
    <w:rsid w:val="646B47A8"/>
    <w:rsid w:val="66037472"/>
    <w:rsid w:val="7183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qFormat/>
    <w:uiPriority w:val="9"/>
    <w:rPr>
      <w:rFonts w:ascii="宋体" w:hAnsi="宋体" w:eastAsia="宋体" w:cs="Times New Roman"/>
      <w:b/>
      <w:bCs/>
      <w:kern w:val="0"/>
      <w:sz w:val="27"/>
      <w:szCs w:val="27"/>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2150</Words>
  <Characters>2175</Characters>
  <Lines>38</Lines>
  <Paragraphs>10</Paragraphs>
  <TotalTime>1</TotalTime>
  <ScaleCrop>false</ScaleCrop>
  <LinksUpToDate>false</LinksUpToDate>
  <CharactersWithSpaces>2176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2022-11-18T07:53:00Z</dcterms:created>
  <dc:creator>Administrator</dc:creator>
  <cp:lastModifiedBy>Administrator</cp:lastModifiedBy>
  <cp:lastPrinted>2022-11-18T07:55:00Z</cp:lastPrinted>
  <dcterms:modified xsi:type="dcterms:W3CDTF">2024-11-08T06:49:52Z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ED19C0D874604A6FBEB8EFF54002A94A_12</vt:lpwstr>
  </property>
</Properties>
</file>